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电子支气管镜系统参数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本次商谈的内容为电子支气管镜采购，卖方负责将电子支气管镜运抵买方指定机房，完成安装，检测、验收合格，交付买方使用，即交钥匙工程。</w:t>
      </w:r>
    </w:p>
    <w:p>
      <w:pPr>
        <w:spacing w:line="360" w:lineRule="auto"/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二、功能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参数要求：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 xml:space="preserve">1.高清全数字图像处理主机（含光源）  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2.高清电子支气管镜（检查镜）1根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3.高清医学监视器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4.台车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技术参数：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1.具有高分辨率画质；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2.窄带成像光学成像强调技术，可增强粘膜表层的血管可视性;</w:t>
      </w:r>
    </w:p>
    <w:p>
      <w:pPr>
        <w:spacing w:line="440" w:lineRule="exact"/>
        <w:rPr>
          <w:rFonts w:ascii="宋体"/>
          <w:sz w:val="24"/>
          <w:szCs w:val="22"/>
        </w:rPr>
      </w:pPr>
      <w:r>
        <w:rPr>
          <w:rFonts w:hint="eastAsia" w:ascii="宋体"/>
          <w:sz w:val="24"/>
          <w:szCs w:val="22"/>
        </w:rPr>
        <w:t>3.镜子技术参数：视野角度 120°（直视），视野方向 0°（直视），观察深度 3~100mm，先端部外径≤4.8mm，弯曲角度UP180°、DOMN 130°，软性部外径≤4.9mm，有效长度600mm，管道内径≥1.95mm，最小可视距离3mm。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3.2免费保修期≥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年，卖方须保证提供8年以上的优质服务。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进口产品</w:t>
      </w:r>
      <w:r>
        <w:rPr>
          <w:rFonts w:hint="eastAsia" w:ascii="宋体" w:hAnsi="宋体" w:eastAsia="宋体" w:cs="宋体"/>
          <w:sz w:val="24"/>
          <w:szCs w:val="24"/>
        </w:rPr>
        <w:t>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5、交货期：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按院方要求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</w:p>
    <w:p>
      <w:pPr>
        <w:pStyle w:val="2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47920"/>
    <w:rsid w:val="58B74593"/>
    <w:rsid w:val="7C5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2020-11-24T01:32:00Z</dcterms:created>
  <dc:creator>Administrator</dc:creator>
  <cp:lastModifiedBy>KLE</cp:lastModifiedBy>
  <dcterms:modified xsi:type="dcterms:W3CDTF">2020-11-28T04:07:00Z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