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C臂机参数要求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内容为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C臂机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采购，卖方负责将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C臂机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运抵</w:t>
      </w:r>
      <w:r>
        <w:rPr>
          <w:rFonts w:hint="eastAsia" w:ascii="宋体" w:hAnsi="宋体" w:eastAsia="宋体" w:cs="宋体"/>
          <w:sz w:val="24"/>
          <w:szCs w:val="24"/>
        </w:rPr>
        <w:t>买方指定机房，完成安装，检测、验收合格，交付买方使用，即交钥匙工程。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二、功能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参数要求：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C臂和监视器分体设计；具有低剂量透视、高分辨率透视、脉冲透视功能；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X发生器最大管电压≥110kV；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数字点片最大管电流≥20mA；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X线球管球管类型双焦点 小焦点≤0.5×0.5mm，大焦点≥1.5×1.5mm；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阳极热容量≥50KHU；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影像增强器三视野；</w:t>
      </w:r>
    </w:p>
    <w:p>
      <w:pPr>
        <w:numPr>
          <w:ilvl w:val="0"/>
          <w:numId w:val="1"/>
        </w:num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C臂纵向开口净空间≥76cm；</w:t>
      </w:r>
    </w:p>
    <w:p>
      <w:pPr>
        <w:numPr>
          <w:ilvl w:val="0"/>
          <w:numId w:val="1"/>
        </w:numPr>
        <w:spacing w:line="440" w:lineRule="exact"/>
      </w:pPr>
      <w:r>
        <w:rPr>
          <w:rFonts w:hint="eastAsia" w:ascii="宋体"/>
          <w:sz w:val="24"/>
          <w:szCs w:val="22"/>
        </w:rPr>
        <w:t>弧深净空间≥66cm。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进口产品</w:t>
      </w:r>
      <w:r>
        <w:rPr>
          <w:rFonts w:hint="eastAsia" w:ascii="宋体" w:hAnsi="宋体" w:eastAsia="宋体" w:cs="宋体"/>
          <w:sz w:val="24"/>
          <w:szCs w:val="24"/>
        </w:rPr>
        <w:t>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8C0F"/>
    <w:multiLevelType w:val="singleLevel"/>
    <w:tmpl w:val="606A8C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42395"/>
    <w:rsid w:val="5F22102B"/>
    <w:rsid w:val="75C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2020-11-24T01:31:00Z</dcterms:created>
  <dc:creator>Administrator</dc:creator>
  <cp:lastModifiedBy>KLE</cp:lastModifiedBy>
  <dcterms:modified xsi:type="dcterms:W3CDTF">2020-11-28T04:07:39Z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