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灌南县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第一人民医院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核磁共振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本次商谈的内容为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灌南县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第一人民医院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核磁共振</w:t>
      </w:r>
      <w:r>
        <w:rPr>
          <w:rFonts w:hint="eastAsia" w:ascii="宋体" w:hAnsi="宋体" w:eastAsia="宋体" w:cs="宋体"/>
          <w:sz w:val="24"/>
          <w:szCs w:val="24"/>
        </w:rPr>
        <w:t>采购，卖方负责将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核磁共振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Chars="0" w:firstLine="0" w:firstLineChars="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 w:bidi="ar-SA"/>
        </w:rPr>
        <w:t>基本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-SA"/>
        </w:rPr>
        <w:t>要求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3.0；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临床型；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零液氦；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全身全序列静音；</w:t>
      </w:r>
      <w:bookmarkStart w:id="0" w:name="_GoBack"/>
      <w:bookmarkEnd w:id="0"/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头颈线圈、腹部线圈、关节线圈、柔性线圈、乳腺线圈，体线圈可用于下肢血管扫描或配备专用下肢血管线圈；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原厂工作站；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高压注射器；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/>
          <w:sz w:val="28"/>
          <w:szCs w:val="28"/>
        </w:rPr>
        <w:t>交钥匙工程。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1.备件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卖方应在国内设有维修备件库,保证供应等。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2.资料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2.1提供操作手册,维护手册等。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3.2免费保修期≥2年，卖方须保证提供8年以上的优质服务。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3.7供方免费提供设备操作手册和维护保养手册。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3.8供方免费提供设备的操作培训。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3.9供方免费提供安装、调试设备的耗品。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3.10供方需提供维修能力证明材料。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4、其他要求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4.2、交货时提供海关报关单及商检证书。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4.3、提供所投型号产品的真实用户。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5、交货期：</w:t>
      </w:r>
      <w:r>
        <w:rPr>
          <w:rFonts w:hint="eastAsia" w:ascii="宋体" w:hAnsi="宋体" w:cs="宋体"/>
          <w:sz w:val="24"/>
          <w:szCs w:val="24"/>
          <w:lang w:eastAsia="zh-CN"/>
        </w:rPr>
        <w:t>以商谈为准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6、中标后5天内签订合同</w:t>
      </w:r>
    </w:p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  <w:sectPr>
          <w:pgSz w:w="12240" w:h="15840"/>
          <w:pgMar w:top="1440" w:right="1270" w:bottom="1276" w:left="1559" w:header="851" w:footer="992" w:gutter="0"/>
          <w:cols w:space="425" w:num="1"/>
          <w:docGrid w:linePitch="286" w:charSpace="0"/>
        </w:sectPr>
      </w:pPr>
    </w:p>
    <w:p>
      <w:pPr>
        <w:rPr>
          <w:rFonts w:hint="eastAsia" w:ascii="宋体" w:hAnsi="宋体" w:eastAsia="宋体" w:cs="宋体"/>
        </w:rPr>
      </w:pPr>
    </w:p>
    <w:sectPr>
      <w:pgSz w:w="12240" w:h="15840"/>
      <w:pgMar w:top="1440" w:right="1270" w:bottom="1276" w:left="1559" w:header="851" w:footer="992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49290"/>
    <w:multiLevelType w:val="singleLevel"/>
    <w:tmpl w:val="9A5492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AA9C47"/>
    <w:multiLevelType w:val="singleLevel"/>
    <w:tmpl w:val="1EAA9C4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7D2A537"/>
    <w:multiLevelType w:val="singleLevel"/>
    <w:tmpl w:val="67D2A53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838"/>
    <w:rsid w:val="00350000"/>
    <w:rsid w:val="00471686"/>
    <w:rsid w:val="004D2193"/>
    <w:rsid w:val="00530EB5"/>
    <w:rsid w:val="00566E59"/>
    <w:rsid w:val="007214C9"/>
    <w:rsid w:val="00CF2838"/>
    <w:rsid w:val="00D107FE"/>
    <w:rsid w:val="00EF6CF7"/>
    <w:rsid w:val="03AB5957"/>
    <w:rsid w:val="1F833AB8"/>
    <w:rsid w:val="29FA34CD"/>
    <w:rsid w:val="2B0F05CF"/>
    <w:rsid w:val="3AF56B2C"/>
    <w:rsid w:val="3E012D81"/>
    <w:rsid w:val="3EF95A44"/>
    <w:rsid w:val="5B60205D"/>
    <w:rsid w:val="6B2049D0"/>
    <w:rsid w:val="75605406"/>
    <w:rsid w:val="7C353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1020</Characters>
  <Lines>8</Lines>
  <Paragraphs>2</Paragraphs>
  <TotalTime>2</TotalTime>
  <ScaleCrop>false</ScaleCrop>
  <LinksUpToDate>false</LinksUpToDate>
  <CharactersWithSpaces>1196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2017-10-17T08:25:00Z</dcterms:created>
  <dc:creator>Cherry Song</dc:creator>
  <cp:lastModifiedBy>KLE</cp:lastModifiedBy>
  <cp:lastPrinted>2019-11-12T07:16:00Z</cp:lastPrinted>
  <dcterms:modified xsi:type="dcterms:W3CDTF">2020-08-21T02:43:57Z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