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连云港市第一人民医院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临床营养检测分析仪</w:t>
      </w:r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参数要求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一、项目概述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本次商谈的内容为连云港市第一人民医院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临床营养检测分析仪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采购，卖方负责将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临床营养检测分析仪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运抵买方指定机房，完成安装，检测、验收合格，交付买方使用，即交钥匙工程。</w:t>
      </w:r>
    </w:p>
    <w:p>
      <w:pPr>
        <w:pStyle w:val="11"/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二、参数要求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电极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8 点接触式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测量方法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直接节段多频率生物电阻抗测量方法，DSM-BIA 法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测量项目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阻抗(Z)通过 4 个不同频率(5KHZ、50KHZ、250KHZ、500KHZ)分别在 5 个 节段部分(右上肢、左上肢、躯干、右下肢、左下肢)进行 20 个电阻抗测量。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输出值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理想体重范围、体重、细胞内液、细胞外液、蛋白质、无机盐、肌肉量、体脂肪、总体水、去脂体重、体脂百分比、基础代谢率、体质指数(BMI)、骨骼肌、肌肉均衡分析；腰臀比、内脏脂肪面积、肥胖度、身体细胞量、上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围度、上臂肌肉围度、四肢骨骼肌质量指数 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数据接口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USB 接口，可用于信息统计后数据保存至存储媒介；网口连接互连网，数据使用 http 协议。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输出频率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输出频率为 5kHz、50kHz、250kHz、500kHz，各频率误差范围±1％。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输出波形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输出波形为正弦波。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阻抗测量功能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上肢阻抗测量范围：150Ω～750Ω，测量允差±1%；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躯干阻抗测量范围：10Ω～35Ω，测量允差±5%；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下肢阻抗测量范围：100Ω～500Ω，测量允差±1%。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输出电流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最大输出电流≤450μA。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体重测量功能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1.在体重测量范围 10kg～150kg 内，体重测量允差±0.5kg；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2.同一载荷在不同位置的示值，其示值允差应不大于±0.5kg；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数据采集功能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1.具有新建患者信息，已建患者信息查询功能；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2.人体成分分析：具有理想体重范围、体重、细胞内液、细胞外液、蛋白质、无机盐、肌肉量、体脂肪、总体水、去脂体重、体脂百分比、基础代谢率、体质指数(BMI)、骨骼肌、肌肉均衡分析；腰臀比、内脏脂肪面积、肥胖度、身体细胞量、上臂围度、上臂肌肉围度、四肢骨骼肌质量指数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3.实验室数据：可录入实验室检查结果；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4.NRS-2002：可录入营养风险筛查检查结果；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5.PG-SGA：可录入肿瘤患者主观整体营养评估检查结果；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6.膳食调查：可录入简明膳食调查法评分结果；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7.体能消耗调查：可录入体能消耗调查结果；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8.干预疗法：可录入营养处方用量和次数。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智能营养处方功能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1.综合营养评价：总能量目标量、总蛋白目标量、营养不良程度、营养不良类型、营养不良原因；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2.智能治疗方案：膳食营养、肠内营养、肠外营养；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3.膳食建议；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4.治疗照护建议。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档案管理功能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记录所有测试过的用户的数据。提供列表显示，并且可以查看任意一次历史测试的结果。记录 10 万条数据。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信息统计功能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可以根据不同条件做出筛选，并以图形形式展示统计结果。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系统设置功能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1.基本信息：显示系统名称、系统名称（英文）、系统标题、版本、产品型号、版权；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2.参数设置：可以对医院名称、NRS-2002 报表标题、PG-SGA 报表标题、体重校准、时间校准、干预疗法、实验室数据、科室床号进行参数设置；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3.权限管理：具有新建权限信息、编辑权限信息、删除权限信息的功能，其中管理员权限只有编辑查看功能；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4.账号管理：具有新建账号信息、编辑账号信息、删除账号信息的功能，其中分析仪管理员账号只有编辑查看功能；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5.营养补充剂(肠内)：全营养、特定全营养、非全营养均具有新建信息、编辑信息、删除信息的功能以及已建信息查询功能。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四、网络安全功能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数据接口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1.USB 接口：可用于系统信息统计数据保存至存储媒介；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2.网络接口：可连接局域网，数据使用 http 协议和 tcp/ip 协议；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存储格式：用户数据以.frm 和.ibd 两种格式储存在该设备中。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用户访问限制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1.用户应通过登录窗口，经 ID 号、密码验证正确后，方可进入系统；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2.不同类型的用户（分析仪管理员、分析仪操作者），登录后的界面、管理的内容及权限不同。 数据保密性 只有在 ID 号、密码验证通过后，其测试数据，才具有可得性。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设备配置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要求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（外设配置）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1.打印机 1 台；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2.鼠标键盘 1 套；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3.打印机托架 1 台。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三、售后服务：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备件、资料及其他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备件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卖方应在国内设有维修备件库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,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保证供应等。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资料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提供操作手册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,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维护手册等。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卖方须向买方提供设备的运行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,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安装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,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使用环境要求等。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服务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在货物到达用单位后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,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卖方应在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天内派专业工程师到达现场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,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提供安装、调试等服务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,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协助医院组织验收，并承担相关费用。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免费保修期≥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年，卖方须保证提供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年以上的优质服务。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卖方为买方提供现场操作培训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,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保证操作人员正常使用设备各种功能。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卖方提供工程师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/1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周技术维修培训。若未提供培训，按合同总金额的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1%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扣除。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开机率≥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98%,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维修人员自接到用户报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小时内响应，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小时内解决故障。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供方承诺保修期外的维修仅收取零件费，不收取维修、差旅费等其他费用。并提供主要零配件和耗品的价目清单。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供方免费提供设备操作手册和维护保养手册。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供方免费提供设备的操作培训。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供方免费提供安装、调试设备的耗品。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供方需提供维修能力证明材料。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、其他要求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、投标设备的需提供经权威机构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CE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FDA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认证和原厂家技术白皮书（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Data Sheet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）及相关资料（文字、图片），如有虚假和伪造，一经发现核实，将无条件废标；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4.2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、交货时提供海关报关单及商检证书。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4.3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、提供所投型号产品的真实用户。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、交货期：一个月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、中标后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天内签订合同</w:t>
      </w:r>
    </w:p>
    <w:p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强调：售后服务承诺必须由生产厂家或总代理提供，原件放入正本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,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否则为废标。投标商自己承诺仅供参考</w:t>
      </w:r>
    </w:p>
    <w:p>
      <w:pPr>
        <w:pStyle w:val="9"/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>
      <w:pPr>
        <w:spacing w:line="220" w:lineRule="atLeas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F5E90"/>
    <w:multiLevelType w:val="singleLevel"/>
    <w:tmpl w:val="512F5E9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A244E"/>
    <w:rsid w:val="00137115"/>
    <w:rsid w:val="00374022"/>
    <w:rsid w:val="009B21AB"/>
    <w:rsid w:val="00AE0646"/>
    <w:rsid w:val="00DA244E"/>
    <w:rsid w:val="00ED518B"/>
    <w:rsid w:val="19D8703B"/>
    <w:rsid w:val="243E3A9D"/>
    <w:rsid w:val="2B0177B1"/>
    <w:rsid w:val="6D10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paragraph" w:customStyle="1" w:styleId="9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paragraph" w:customStyle="1" w:styleId="10">
    <w:name w:val="p15"/>
    <w:basedOn w:val="1"/>
    <w:qFormat/>
    <w:uiPriority w:val="0"/>
    <w:pPr>
      <w:snapToGrid/>
      <w:spacing w:after="0"/>
    </w:pPr>
    <w:rPr>
      <w:rFonts w:ascii="Arial Unicode MS" w:hAnsi="Arial Unicode MS" w:eastAsia="宋体"/>
      <w:color w:val="000000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307</Words>
  <Characters>1754</Characters>
  <Lines>14</Lines>
  <Paragraphs>4</Paragraphs>
  <TotalTime>15</TotalTime>
  <ScaleCrop>false</ScaleCrop>
  <LinksUpToDate>false</LinksUpToDate>
  <CharactersWithSpaces>2057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2017-03-28T21:46:00Z</dcterms:created>
  <dc:creator>Administrator.HOMEMIC-CRDE2C6</dc:creator>
  <cp:lastModifiedBy>KLE</cp:lastModifiedBy>
  <cp:lastPrinted>2019-09-25T05:22:00Z</cp:lastPrinted>
  <dcterms:modified xsi:type="dcterms:W3CDTF">2020-08-11T10:20:18Z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