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</w:p>
    <w:p>
      <w:pPr>
        <w:snapToGrid w:val="0"/>
        <w:spacing w:line="360" w:lineRule="auto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消化内科电子超声胃镜</w:t>
      </w:r>
      <w:r>
        <w:rPr>
          <w:rFonts w:hint="eastAsia" w:ascii="宋体" w:hAnsi="宋体" w:cs="宋体"/>
          <w:b/>
          <w:bCs/>
          <w:sz w:val="28"/>
          <w:szCs w:val="28"/>
        </w:rPr>
        <w:t>技术参数要求</w:t>
      </w:r>
    </w:p>
    <w:p>
      <w:pPr>
        <w:spacing w:line="360" w:lineRule="auto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本次商谈的内容为连云港市第一人民医</w:t>
      </w:r>
      <w:r>
        <w:rPr>
          <w:rFonts w:hint="eastAsia" w:ascii="宋体" w:hAnsi="宋体" w:cs="宋体"/>
          <w:sz w:val="24"/>
        </w:rPr>
        <w:t>院消化内科电子超声胃镜采购，</w:t>
      </w:r>
      <w:r>
        <w:rPr>
          <w:rFonts w:hint="eastAsia" w:ascii="宋体" w:hAnsi="宋体" w:cs="宋体"/>
          <w:sz w:val="24"/>
        </w:rPr>
        <w:t>卖方负责将</w:t>
      </w:r>
      <w:r>
        <w:rPr>
          <w:rFonts w:hint="eastAsia" w:ascii="宋体" w:hAnsi="宋体" w:cs="宋体"/>
          <w:sz w:val="24"/>
        </w:rPr>
        <w:t>消化内科电子超声胃镜</w:t>
      </w:r>
      <w:r>
        <w:rPr>
          <w:rFonts w:hint="eastAsia" w:ascii="宋体" w:hAnsi="宋体" w:cs="宋体"/>
          <w:sz w:val="24"/>
        </w:rPr>
        <w:t>运抵买方指定机房，完成安装，检测、验收合格，交付买方使用，即交钥匙工程。</w:t>
      </w:r>
    </w:p>
    <w:p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二</w:t>
      </w:r>
      <w:r>
        <w:rPr>
          <w:rFonts w:hint="eastAsia" w:ascii="宋体" w:hAnsi="宋体" w:cs="宋体"/>
          <w:b/>
          <w:bCs/>
          <w:sz w:val="24"/>
        </w:rPr>
        <w:t>、</w:t>
      </w:r>
      <w:r>
        <w:rPr>
          <w:rFonts w:hint="eastAsia" w:ascii="宋体" w:hAnsi="宋体" w:cs="宋体"/>
          <w:b/>
          <w:bCs/>
          <w:sz w:val="24"/>
          <w:lang w:eastAsia="zh-CN"/>
        </w:rPr>
        <w:t>参数要求</w:t>
      </w:r>
    </w:p>
    <w:p>
      <w:pPr>
        <w:spacing w:line="360" w:lineRule="exact"/>
        <w:rPr>
          <w:rFonts w:hint="eastAsia" w:ascii="楷体_GB2312" w:eastAsia="楷体_GB2312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1）</w:t>
      </w:r>
      <w:r>
        <w:rPr>
          <w:rFonts w:hint="eastAsia" w:ascii="宋体" w:hAnsi="宋体" w:cs="宋体"/>
          <w:b/>
          <w:bCs/>
          <w:sz w:val="24"/>
          <w:lang w:eastAsia="zh-CN"/>
        </w:rPr>
        <w:t>超声内镜图像处理装置参数</w:t>
      </w:r>
    </w:p>
    <w:p>
      <w:pPr>
        <w:spacing w:line="360" w:lineRule="auto"/>
        <w:jc w:val="center"/>
        <w:rPr>
          <w:rFonts w:ascii="方正粗宋_GBK" w:eastAsia="方正粗宋_GBK"/>
          <w:color w:val="800080"/>
          <w:sz w:val="44"/>
          <w:szCs w:val="44"/>
        </w:rPr>
      </w:pPr>
    </w:p>
    <w:tbl>
      <w:tblPr>
        <w:tblStyle w:val="4"/>
        <w:tblW w:w="968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902"/>
        <w:gridCol w:w="1699"/>
        <w:gridCol w:w="44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6" w:type="dxa"/>
            <w:vMerge w:val="restart"/>
            <w:vAlign w:val="center"/>
          </w:tcPr>
          <w:p>
            <w:pPr>
              <w:jc w:val="center"/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电源供应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电压</w:t>
            </w:r>
          </w:p>
        </w:tc>
        <w:tc>
          <w:tcPr>
            <w:tcW w:w="4483" w:type="dxa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220-240V AC</w:t>
            </w:r>
            <w:r>
              <w:rPr>
                <w:rFonts w:hint="eastAsia" w:ascii="Dotum" w:hAnsi="Dotum"/>
                <w:sz w:val="20"/>
              </w:rPr>
              <w:t>（±10%）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Gulim" w:hAnsi="Gulim"/>
                <w:sz w:val="20"/>
              </w:rPr>
            </w:pPr>
          </w:p>
        </w:tc>
        <w:tc>
          <w:tcPr>
            <w:tcW w:w="3601" w:type="dxa"/>
            <w:gridSpan w:val="2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频率</w:t>
            </w:r>
          </w:p>
        </w:tc>
        <w:tc>
          <w:tcPr>
            <w:tcW w:w="4483" w:type="dxa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50/60HZ</w:t>
            </w:r>
            <w:r>
              <w:rPr>
                <w:rFonts w:hint="eastAsia" w:ascii="Dotum" w:hAnsi="Dotum"/>
                <w:sz w:val="20"/>
              </w:rPr>
              <w:t>（±1Hz）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Gulim" w:hAnsi="Gulim"/>
                <w:sz w:val="20"/>
              </w:rPr>
            </w:pPr>
          </w:p>
        </w:tc>
        <w:tc>
          <w:tcPr>
            <w:tcW w:w="3601" w:type="dxa"/>
            <w:gridSpan w:val="2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电气功耗</w:t>
            </w:r>
          </w:p>
        </w:tc>
        <w:tc>
          <w:tcPr>
            <w:tcW w:w="4483" w:type="dxa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370VA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6" w:type="dxa"/>
            <w:vMerge w:val="restart"/>
            <w:vAlign w:val="center"/>
          </w:tcPr>
          <w:p>
            <w:pPr>
              <w:jc w:val="center"/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类别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防电击保护类别</w:t>
            </w:r>
          </w:p>
        </w:tc>
        <w:tc>
          <w:tcPr>
            <w:tcW w:w="4483" w:type="dxa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I类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Gulim" w:hAnsi="Gulim"/>
                <w:sz w:val="20"/>
              </w:rPr>
            </w:pPr>
          </w:p>
        </w:tc>
        <w:tc>
          <w:tcPr>
            <w:tcW w:w="3601" w:type="dxa"/>
            <w:gridSpan w:val="2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应用部位对电击的防护程度</w:t>
            </w:r>
          </w:p>
        </w:tc>
        <w:tc>
          <w:tcPr>
            <w:tcW w:w="4483" w:type="dxa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BF型应用部位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4" w:space="0"/>
            <w:insideV w:val="single" w:color="808080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Gulim" w:hAnsi="Gulim"/>
                <w:sz w:val="20"/>
              </w:rPr>
            </w:pPr>
          </w:p>
        </w:tc>
        <w:tc>
          <w:tcPr>
            <w:tcW w:w="3601" w:type="dxa"/>
            <w:gridSpan w:val="2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防爆保护级别</w:t>
            </w:r>
          </w:p>
        </w:tc>
        <w:tc>
          <w:tcPr>
            <w:tcW w:w="4483" w:type="dxa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超声内镜图像处理装置应远离可燃性气体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97" w:type="dxa"/>
            <w:gridSpan w:val="3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BF型应用部位</w:t>
            </w:r>
          </w:p>
        </w:tc>
        <w:tc>
          <w:tcPr>
            <w:tcW w:w="4483" w:type="dxa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本设备可安全地应用于除心脏以外的任何部位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97" w:type="dxa"/>
            <w:gridSpan w:val="3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EMC</w:t>
            </w:r>
          </w:p>
        </w:tc>
        <w:tc>
          <w:tcPr>
            <w:tcW w:w="4483" w:type="dxa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本设备符合以下所列标准：</w:t>
            </w:r>
          </w:p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IEC6060-1-2;:2001</w:t>
            </w:r>
          </w:p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IEC60601-2-37:2007</w:t>
            </w:r>
          </w:p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CISPR11:1组、B级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97" w:type="dxa"/>
            <w:gridSpan w:val="3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超声扫描格式</w:t>
            </w:r>
          </w:p>
        </w:tc>
        <w:tc>
          <w:tcPr>
            <w:tcW w:w="4483" w:type="dxa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机械扫描，电子扫描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6" w:type="dxa"/>
            <w:vMerge w:val="restart"/>
            <w:vAlign w:val="center"/>
          </w:tcPr>
          <w:p>
            <w:pPr>
              <w:jc w:val="center"/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机械扫描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显示模式</w:t>
            </w:r>
          </w:p>
        </w:tc>
        <w:tc>
          <w:tcPr>
            <w:tcW w:w="4483" w:type="dxa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B模式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Gulim" w:hAnsi="Gulim"/>
                <w:sz w:val="20"/>
              </w:rPr>
            </w:pPr>
          </w:p>
        </w:tc>
        <w:tc>
          <w:tcPr>
            <w:tcW w:w="3601" w:type="dxa"/>
            <w:gridSpan w:val="2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扫描</w:t>
            </w:r>
          </w:p>
        </w:tc>
        <w:tc>
          <w:tcPr>
            <w:tcW w:w="4483" w:type="dxa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环形扫描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4" w:space="0"/>
            <w:insideV w:val="single" w:color="808080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Gulim" w:hAnsi="Gulim"/>
                <w:sz w:val="20"/>
              </w:rPr>
            </w:pPr>
          </w:p>
        </w:tc>
        <w:tc>
          <w:tcPr>
            <w:tcW w:w="3601" w:type="dxa"/>
            <w:gridSpan w:val="2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配套设备</w:t>
            </w:r>
          </w:p>
        </w:tc>
        <w:tc>
          <w:tcPr>
            <w:tcW w:w="4483" w:type="dxa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机械环扫超声镜，小探头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Gulim" w:hAnsi="Gulim"/>
                <w:sz w:val="20"/>
              </w:rPr>
            </w:pPr>
          </w:p>
        </w:tc>
        <w:tc>
          <w:tcPr>
            <w:tcW w:w="3601" w:type="dxa"/>
            <w:gridSpan w:val="2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可用频率</w:t>
            </w:r>
          </w:p>
        </w:tc>
        <w:tc>
          <w:tcPr>
            <w:tcW w:w="4483" w:type="dxa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C5.C7.5.C12.C20 7.5MHZ 12MHz，20MHz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Gulim" w:hAnsi="Gulim"/>
                <w:sz w:val="20"/>
              </w:rPr>
            </w:pPr>
          </w:p>
        </w:tc>
        <w:tc>
          <w:tcPr>
            <w:tcW w:w="3601" w:type="dxa"/>
            <w:gridSpan w:val="2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显示范围</w:t>
            </w:r>
          </w:p>
        </w:tc>
        <w:tc>
          <w:tcPr>
            <w:tcW w:w="4483" w:type="dxa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2，3，4，6，9，12cm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Gulim" w:hAnsi="Gulim"/>
                <w:sz w:val="20"/>
              </w:rPr>
            </w:pPr>
          </w:p>
        </w:tc>
        <w:tc>
          <w:tcPr>
            <w:tcW w:w="3601" w:type="dxa"/>
            <w:gridSpan w:val="2"/>
            <w:vMerge w:val="restart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显示处理</w:t>
            </w:r>
          </w:p>
        </w:tc>
        <w:tc>
          <w:tcPr>
            <w:tcW w:w="4483" w:type="dxa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旋转  可旋转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Gulim" w:hAnsi="Gulim"/>
                <w:sz w:val="20"/>
              </w:rPr>
            </w:pPr>
          </w:p>
        </w:tc>
        <w:tc>
          <w:tcPr>
            <w:tcW w:w="3601" w:type="dxa"/>
            <w:gridSpan w:val="2"/>
            <w:vMerge w:val="continue"/>
            <w:vAlign w:val="center"/>
          </w:tcPr>
          <w:p>
            <w:pPr>
              <w:rPr>
                <w:rFonts w:ascii="Gulim" w:hAnsi="Gulim"/>
                <w:sz w:val="20"/>
              </w:rPr>
            </w:pPr>
          </w:p>
        </w:tc>
        <w:tc>
          <w:tcPr>
            <w:tcW w:w="4483" w:type="dxa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显示区  全圆显示、下半圆显示、上半圆显示、滚动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Gulim" w:hAnsi="Gulim"/>
                <w:sz w:val="20"/>
              </w:rPr>
            </w:pPr>
          </w:p>
        </w:tc>
        <w:tc>
          <w:tcPr>
            <w:tcW w:w="3601" w:type="dxa"/>
            <w:gridSpan w:val="2"/>
            <w:vMerge w:val="continue"/>
            <w:vAlign w:val="center"/>
          </w:tcPr>
          <w:p>
            <w:pPr>
              <w:rPr>
                <w:rFonts w:ascii="Gulim" w:hAnsi="Gulim"/>
                <w:sz w:val="20"/>
              </w:rPr>
            </w:pPr>
          </w:p>
        </w:tc>
        <w:tc>
          <w:tcPr>
            <w:tcW w:w="4483" w:type="dxa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图像方向正常/倒转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4" w:space="0"/>
            <w:insideV w:val="single" w:color="808080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Gulim" w:hAnsi="Gulim"/>
                <w:sz w:val="20"/>
              </w:rPr>
            </w:pPr>
          </w:p>
        </w:tc>
        <w:tc>
          <w:tcPr>
            <w:tcW w:w="3601" w:type="dxa"/>
            <w:gridSpan w:val="2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图像存储</w:t>
            </w:r>
          </w:p>
        </w:tc>
        <w:tc>
          <w:tcPr>
            <w:tcW w:w="4483" w:type="dxa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最大160帧</w:t>
            </w:r>
          </w:p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图像回放功能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Gulim" w:hAnsi="Gulim"/>
                <w:sz w:val="20"/>
              </w:rPr>
            </w:pPr>
          </w:p>
        </w:tc>
        <w:tc>
          <w:tcPr>
            <w:tcW w:w="3601" w:type="dxa"/>
            <w:gridSpan w:val="2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3D</w:t>
            </w:r>
          </w:p>
        </w:tc>
        <w:tc>
          <w:tcPr>
            <w:tcW w:w="4483" w:type="dxa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3D显示，MPR显示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Gulim" w:hAnsi="Gulim"/>
                <w:sz w:val="20"/>
              </w:rPr>
            </w:pPr>
          </w:p>
        </w:tc>
        <w:tc>
          <w:tcPr>
            <w:tcW w:w="3601" w:type="dxa"/>
            <w:gridSpan w:val="2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测量</w:t>
            </w:r>
          </w:p>
        </w:tc>
        <w:tc>
          <w:tcPr>
            <w:tcW w:w="4483" w:type="dxa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距离、面积、周长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6" w:type="dxa"/>
            <w:vMerge w:val="restart"/>
            <w:vAlign w:val="center"/>
          </w:tcPr>
          <w:p>
            <w:pPr>
              <w:jc w:val="center"/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电子扫描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显示模式</w:t>
            </w:r>
          </w:p>
        </w:tc>
        <w:tc>
          <w:tcPr>
            <w:tcW w:w="4483" w:type="dxa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B模式，彩色血流模式，PW模式、THE模式、CH-EUS模式、ELST模式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Gulim" w:hAnsi="Gulim"/>
                <w:sz w:val="20"/>
              </w:rPr>
            </w:pPr>
          </w:p>
        </w:tc>
        <w:tc>
          <w:tcPr>
            <w:tcW w:w="3601" w:type="dxa"/>
            <w:gridSpan w:val="2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扫描</w:t>
            </w:r>
          </w:p>
        </w:tc>
        <w:tc>
          <w:tcPr>
            <w:tcW w:w="4483" w:type="dxa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环形扫描、凸阵扫描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Gulim" w:hAnsi="Gulim"/>
                <w:sz w:val="20"/>
              </w:rPr>
            </w:pPr>
          </w:p>
        </w:tc>
        <w:tc>
          <w:tcPr>
            <w:tcW w:w="3601" w:type="dxa"/>
            <w:gridSpan w:val="2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配套设备</w:t>
            </w:r>
          </w:p>
        </w:tc>
        <w:tc>
          <w:tcPr>
            <w:tcW w:w="4483" w:type="dxa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电子环扫超声内镜</w:t>
            </w:r>
          </w:p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电子凸阵超声内镜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4" w:space="0"/>
            <w:insideV w:val="single" w:color="808080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Gulim" w:hAnsi="Gulim"/>
                <w:sz w:val="20"/>
              </w:rPr>
            </w:pPr>
          </w:p>
        </w:tc>
        <w:tc>
          <w:tcPr>
            <w:tcW w:w="3601" w:type="dxa"/>
            <w:gridSpan w:val="2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可用频率</w:t>
            </w:r>
          </w:p>
        </w:tc>
        <w:tc>
          <w:tcPr>
            <w:tcW w:w="4483" w:type="dxa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5MHz，6MHz，7.5MHz，10MHz，12MHz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Gulim" w:hAnsi="Gulim"/>
                <w:sz w:val="20"/>
              </w:rPr>
            </w:pPr>
          </w:p>
        </w:tc>
        <w:tc>
          <w:tcPr>
            <w:tcW w:w="3601" w:type="dxa"/>
            <w:gridSpan w:val="2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显示范围</w:t>
            </w:r>
          </w:p>
        </w:tc>
        <w:tc>
          <w:tcPr>
            <w:tcW w:w="4483" w:type="dxa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2，3，4，5，6，7，8，9，12cm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Gulim" w:hAnsi="Gulim"/>
                <w:sz w:val="20"/>
              </w:rPr>
            </w:pPr>
          </w:p>
        </w:tc>
        <w:tc>
          <w:tcPr>
            <w:tcW w:w="3601" w:type="dxa"/>
            <w:gridSpan w:val="2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图像调节</w:t>
            </w:r>
          </w:p>
        </w:tc>
        <w:tc>
          <w:tcPr>
            <w:tcW w:w="4483" w:type="dxa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增益，对比度，STC,增强，复合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Gulim" w:hAnsi="Gulim"/>
                <w:sz w:val="20"/>
              </w:rPr>
            </w:pPr>
          </w:p>
        </w:tc>
        <w:tc>
          <w:tcPr>
            <w:tcW w:w="3601" w:type="dxa"/>
            <w:gridSpan w:val="2"/>
            <w:vMerge w:val="restart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显示处理</w:t>
            </w:r>
          </w:p>
        </w:tc>
        <w:tc>
          <w:tcPr>
            <w:tcW w:w="4483" w:type="dxa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显示区 （环形） 全圆显示、下半圆显示、上半圆显示、滚动</w:t>
            </w:r>
          </w:p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显示区 （凸阵）扇形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Gulim" w:hAnsi="Gulim"/>
                <w:sz w:val="20"/>
              </w:rPr>
            </w:pPr>
          </w:p>
        </w:tc>
        <w:tc>
          <w:tcPr>
            <w:tcW w:w="3601" w:type="dxa"/>
            <w:gridSpan w:val="2"/>
            <w:vMerge w:val="continue"/>
            <w:vAlign w:val="center"/>
          </w:tcPr>
          <w:p>
            <w:pPr>
              <w:rPr>
                <w:rFonts w:ascii="Gulim" w:hAnsi="Gulim"/>
                <w:sz w:val="20"/>
              </w:rPr>
            </w:pPr>
          </w:p>
        </w:tc>
        <w:tc>
          <w:tcPr>
            <w:tcW w:w="4483" w:type="dxa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方向  正常/倒转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Gulim" w:hAnsi="Gulim"/>
                <w:sz w:val="20"/>
              </w:rPr>
            </w:pPr>
          </w:p>
        </w:tc>
        <w:tc>
          <w:tcPr>
            <w:tcW w:w="3601" w:type="dxa"/>
            <w:gridSpan w:val="2"/>
            <w:vMerge w:val="continue"/>
            <w:vAlign w:val="center"/>
          </w:tcPr>
          <w:p>
            <w:pPr>
              <w:rPr>
                <w:rFonts w:ascii="Gulim" w:hAnsi="Gulim"/>
                <w:sz w:val="20"/>
              </w:rPr>
            </w:pPr>
          </w:p>
        </w:tc>
        <w:tc>
          <w:tcPr>
            <w:tcW w:w="4483" w:type="dxa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显示方式:单屏/双屏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4" w:space="0"/>
            <w:insideV w:val="single" w:color="808080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Gulim" w:hAnsi="Gulim"/>
                <w:sz w:val="20"/>
              </w:rPr>
            </w:pPr>
          </w:p>
        </w:tc>
        <w:tc>
          <w:tcPr>
            <w:tcW w:w="3601" w:type="dxa"/>
            <w:gridSpan w:val="2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图像存储</w:t>
            </w:r>
          </w:p>
        </w:tc>
        <w:tc>
          <w:tcPr>
            <w:tcW w:w="4483" w:type="dxa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最大600帧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Gulim" w:hAnsi="Gulim"/>
                <w:sz w:val="20"/>
              </w:rPr>
            </w:pPr>
          </w:p>
        </w:tc>
        <w:tc>
          <w:tcPr>
            <w:tcW w:w="3601" w:type="dxa"/>
            <w:gridSpan w:val="2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焦点</w:t>
            </w:r>
          </w:p>
        </w:tc>
        <w:tc>
          <w:tcPr>
            <w:tcW w:w="4483" w:type="dxa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自动预设：近/远</w:t>
            </w:r>
          </w:p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焦点设置：焦点位置可调，焦点数量可调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Gulim" w:hAnsi="Gulim"/>
                <w:sz w:val="20"/>
              </w:rPr>
            </w:pPr>
          </w:p>
        </w:tc>
        <w:tc>
          <w:tcPr>
            <w:tcW w:w="3601" w:type="dxa"/>
            <w:gridSpan w:val="2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血流模式</w:t>
            </w:r>
          </w:p>
        </w:tc>
        <w:tc>
          <w:tcPr>
            <w:tcW w:w="4483" w:type="dxa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彩色血流模式、能量血流模式，H-血流模式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Gulim" w:hAnsi="Gulim"/>
                <w:sz w:val="20"/>
              </w:rPr>
            </w:pPr>
          </w:p>
        </w:tc>
        <w:tc>
          <w:tcPr>
            <w:tcW w:w="3601" w:type="dxa"/>
            <w:gridSpan w:val="2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PW模式</w:t>
            </w:r>
          </w:p>
        </w:tc>
        <w:tc>
          <w:tcPr>
            <w:tcW w:w="4483" w:type="dxa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B+PW 彩色+PW 能量+空，H-FLOW+PW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Gulim" w:hAnsi="Gulim"/>
                <w:sz w:val="20"/>
              </w:rPr>
            </w:pPr>
          </w:p>
        </w:tc>
        <w:tc>
          <w:tcPr>
            <w:tcW w:w="3601" w:type="dxa"/>
            <w:gridSpan w:val="2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测量</w:t>
            </w:r>
          </w:p>
        </w:tc>
        <w:tc>
          <w:tcPr>
            <w:tcW w:w="4483" w:type="dxa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距离， 面积，周长，PW测量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Gulim" w:hAnsi="Gulim"/>
                <w:sz w:val="20"/>
              </w:rPr>
            </w:pPr>
          </w:p>
        </w:tc>
        <w:tc>
          <w:tcPr>
            <w:tcW w:w="3601" w:type="dxa"/>
            <w:gridSpan w:val="2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THE(组织谐波)模式*1</w:t>
            </w:r>
          </w:p>
        </w:tc>
        <w:tc>
          <w:tcPr>
            <w:tcW w:w="4483" w:type="dxa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THE-P,THE-R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4" w:space="0"/>
            <w:insideV w:val="single" w:color="808080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Gulim" w:hAnsi="Gulim"/>
                <w:sz w:val="20"/>
              </w:rPr>
            </w:pPr>
          </w:p>
        </w:tc>
        <w:tc>
          <w:tcPr>
            <w:tcW w:w="3601" w:type="dxa"/>
            <w:gridSpan w:val="2"/>
            <w:vMerge w:val="restart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CH-EUS(造影谐波EUS)模式*1</w:t>
            </w:r>
          </w:p>
        </w:tc>
        <w:tc>
          <w:tcPr>
            <w:tcW w:w="4483" w:type="dxa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显示方式 CH-B CH-彩色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Gulim" w:hAnsi="Gulim"/>
                <w:sz w:val="20"/>
              </w:rPr>
            </w:pPr>
          </w:p>
        </w:tc>
        <w:tc>
          <w:tcPr>
            <w:tcW w:w="3601" w:type="dxa"/>
            <w:gridSpan w:val="2"/>
            <w:vMerge w:val="continue"/>
            <w:vAlign w:val="center"/>
          </w:tcPr>
          <w:p>
            <w:pPr>
              <w:rPr>
                <w:rFonts w:ascii="Gulim" w:hAnsi="Gulim"/>
                <w:sz w:val="20"/>
              </w:rPr>
            </w:pPr>
          </w:p>
        </w:tc>
        <w:tc>
          <w:tcPr>
            <w:tcW w:w="4483" w:type="dxa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预设（CH介质型）2类，可调节（中或低）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Gulim" w:hAnsi="Gulim"/>
                <w:sz w:val="20"/>
              </w:rPr>
            </w:pPr>
          </w:p>
        </w:tc>
        <w:tc>
          <w:tcPr>
            <w:tcW w:w="3601" w:type="dxa"/>
            <w:gridSpan w:val="2"/>
            <w:vMerge w:val="continue"/>
            <w:vAlign w:val="center"/>
          </w:tcPr>
          <w:p>
            <w:pPr>
              <w:rPr>
                <w:rFonts w:ascii="Gulim" w:hAnsi="Gulim"/>
                <w:sz w:val="20"/>
              </w:rPr>
            </w:pPr>
          </w:p>
        </w:tc>
        <w:tc>
          <w:tcPr>
            <w:tcW w:w="4483" w:type="dxa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频率选择 ：2类，可调节（CH-R或CH-P）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Gulim" w:hAnsi="Gulim"/>
                <w:sz w:val="20"/>
              </w:rPr>
            </w:pPr>
          </w:p>
        </w:tc>
        <w:tc>
          <w:tcPr>
            <w:tcW w:w="3601" w:type="dxa"/>
            <w:gridSpan w:val="2"/>
            <w:vMerge w:val="continue"/>
            <w:vAlign w:val="center"/>
          </w:tcPr>
          <w:p>
            <w:pPr>
              <w:rPr>
                <w:rFonts w:ascii="Gulim" w:hAnsi="Gulim"/>
                <w:sz w:val="20"/>
              </w:rPr>
            </w:pPr>
          </w:p>
        </w:tc>
        <w:tc>
          <w:tcPr>
            <w:tcW w:w="4483" w:type="dxa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TIC分析：显示随每个ROI平均亮度时间的变化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Gulim" w:hAnsi="Gulim"/>
                <w:sz w:val="20"/>
              </w:rPr>
            </w:pPr>
          </w:p>
        </w:tc>
        <w:tc>
          <w:tcPr>
            <w:tcW w:w="3601" w:type="dxa"/>
            <w:gridSpan w:val="2"/>
            <w:vMerge w:val="restart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ELST(弹性成像) 模式*1</w:t>
            </w:r>
          </w:p>
        </w:tc>
        <w:tc>
          <w:tcPr>
            <w:tcW w:w="4483" w:type="dxa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增压状态指导  应变图，增压条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Gulim" w:hAnsi="Gulim"/>
                <w:sz w:val="20"/>
              </w:rPr>
            </w:pPr>
          </w:p>
        </w:tc>
        <w:tc>
          <w:tcPr>
            <w:tcW w:w="3601" w:type="dxa"/>
            <w:gridSpan w:val="2"/>
            <w:vMerge w:val="continue"/>
            <w:vAlign w:val="center"/>
          </w:tcPr>
          <w:p>
            <w:pPr>
              <w:rPr>
                <w:rFonts w:ascii="Gulim" w:hAnsi="Gulim"/>
                <w:sz w:val="20"/>
              </w:rPr>
            </w:pPr>
          </w:p>
        </w:tc>
        <w:tc>
          <w:tcPr>
            <w:tcW w:w="4483" w:type="dxa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应变率*2  在两个区域里显示应变量和应变率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4" w:space="0"/>
            <w:insideV w:val="single" w:color="808080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159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记录图像数据</w:t>
            </w:r>
          </w:p>
        </w:tc>
        <w:tc>
          <w:tcPr>
            <w:tcW w:w="3601" w:type="dxa"/>
            <w:gridSpan w:val="2"/>
            <w:vMerge w:val="restart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数据格式</w:t>
            </w:r>
          </w:p>
        </w:tc>
        <w:tc>
          <w:tcPr>
            <w:tcW w:w="4483" w:type="dxa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静态图像 Bmp格式，Jpeg格式 、3DV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Cs/>
                <w:sz w:val="20"/>
              </w:rPr>
            </w:pPr>
          </w:p>
        </w:tc>
        <w:tc>
          <w:tcPr>
            <w:tcW w:w="3601" w:type="dxa"/>
            <w:gridSpan w:val="2"/>
            <w:vMerge w:val="continue"/>
            <w:vAlign w:val="center"/>
          </w:tcPr>
          <w:p>
            <w:pPr>
              <w:rPr>
                <w:rFonts w:ascii="Gulim" w:hAnsi="Gulim"/>
                <w:sz w:val="20"/>
              </w:rPr>
            </w:pPr>
          </w:p>
        </w:tc>
        <w:tc>
          <w:tcPr>
            <w:tcW w:w="4483" w:type="dxa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图像数据*1 AVI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6" w:type="dxa"/>
            <w:vMerge w:val="restart"/>
            <w:vAlign w:val="center"/>
          </w:tcPr>
          <w:p>
            <w:pPr>
              <w:jc w:val="center"/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周边设备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键盘</w:t>
            </w:r>
          </w:p>
        </w:tc>
        <w:tc>
          <w:tcPr>
            <w:tcW w:w="4483" w:type="dxa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带内置轨迹球的键盘，LCD触摸板和LED背光键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Gulim" w:hAnsi="Gulim"/>
                <w:sz w:val="20"/>
              </w:rPr>
            </w:pPr>
          </w:p>
        </w:tc>
        <w:tc>
          <w:tcPr>
            <w:tcW w:w="3601" w:type="dxa"/>
            <w:gridSpan w:val="2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照相和记录装置</w:t>
            </w:r>
          </w:p>
        </w:tc>
        <w:tc>
          <w:tcPr>
            <w:tcW w:w="4483" w:type="dxa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视频打印机（彩色/单色），DVR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Gulim" w:hAnsi="Gulim"/>
                <w:sz w:val="20"/>
              </w:rPr>
            </w:pPr>
          </w:p>
        </w:tc>
        <w:tc>
          <w:tcPr>
            <w:tcW w:w="1902" w:type="dxa"/>
            <w:vMerge w:val="restart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图像处理装置</w:t>
            </w:r>
          </w:p>
        </w:tc>
        <w:tc>
          <w:tcPr>
            <w:tcW w:w="1699" w:type="dxa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监视器显示选择</w:t>
            </w:r>
          </w:p>
        </w:tc>
        <w:tc>
          <w:tcPr>
            <w:tcW w:w="4483" w:type="dxa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内镜/超声图像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Gulim" w:hAnsi="Gulim"/>
                <w:sz w:val="20"/>
              </w:rPr>
            </w:pPr>
          </w:p>
        </w:tc>
        <w:tc>
          <w:tcPr>
            <w:tcW w:w="1902" w:type="dxa"/>
            <w:vMerge w:val="continue"/>
            <w:vAlign w:val="center"/>
          </w:tcPr>
          <w:p>
            <w:pPr>
              <w:rPr>
                <w:rFonts w:ascii="Gulim" w:hAnsi="Gulim"/>
                <w:sz w:val="20"/>
              </w:rPr>
            </w:pPr>
          </w:p>
        </w:tc>
        <w:tc>
          <w:tcPr>
            <w:tcW w:w="1699" w:type="dxa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画中画</w:t>
            </w:r>
          </w:p>
        </w:tc>
        <w:tc>
          <w:tcPr>
            <w:tcW w:w="4483" w:type="dxa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在超声图像上以PinP幅画面显示内镜图像。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4" w:space="0"/>
            <w:insideV w:val="single" w:color="808080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Gulim" w:hAnsi="Gulim"/>
                <w:sz w:val="20"/>
              </w:rPr>
            </w:pPr>
          </w:p>
        </w:tc>
        <w:tc>
          <w:tcPr>
            <w:tcW w:w="1902" w:type="dxa"/>
            <w:vMerge w:val="continue"/>
            <w:vAlign w:val="center"/>
          </w:tcPr>
          <w:p>
            <w:pPr>
              <w:rPr>
                <w:rFonts w:ascii="Gulim" w:hAnsi="Gulim"/>
                <w:sz w:val="20"/>
              </w:rPr>
            </w:pPr>
          </w:p>
        </w:tc>
        <w:tc>
          <w:tcPr>
            <w:tcW w:w="1699" w:type="dxa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患者数据</w:t>
            </w:r>
          </w:p>
        </w:tc>
        <w:tc>
          <w:tcPr>
            <w:tcW w:w="4483" w:type="dxa"/>
            <w:vAlign w:val="center"/>
          </w:tcPr>
          <w:p>
            <w:pPr>
              <w:rPr>
                <w:rFonts w:ascii="Gulim" w:hAnsi="Gulim"/>
                <w:sz w:val="20"/>
              </w:rPr>
            </w:pPr>
            <w:r>
              <w:rPr>
                <w:rFonts w:hint="eastAsia" w:ascii="Gulim" w:hAnsi="Gulim"/>
                <w:sz w:val="20"/>
              </w:rPr>
              <w:t>与图像处理装置共享患者数据。</w:t>
            </w:r>
          </w:p>
        </w:tc>
      </w:tr>
    </w:tbl>
    <w:p>
      <w:pPr>
        <w:autoSpaceDE w:val="0"/>
        <w:autoSpaceDN w:val="0"/>
        <w:spacing w:line="600" w:lineRule="exact"/>
        <w:ind w:right="-6"/>
        <w:jc w:val="both"/>
        <w:textAlignment w:val="bottom"/>
        <w:rPr>
          <w:rFonts w:hint="eastAsia" w:ascii="方正粗宋_GBK" w:eastAsia="方正粗宋_GBK"/>
          <w:b/>
          <w:sz w:val="32"/>
          <w:szCs w:val="32"/>
          <w:u w:val="single"/>
        </w:rPr>
      </w:pPr>
    </w:p>
    <w:p>
      <w:pPr>
        <w:spacing w:line="360" w:lineRule="auto"/>
        <w:rPr>
          <w:rFonts w:ascii="方正粗宋_GBK" w:eastAsia="方正粗宋_GBK"/>
          <w:b/>
          <w:color w:val="FF0000"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2）</w:t>
      </w:r>
      <w:r>
        <w:rPr>
          <w:rFonts w:hint="eastAsia" w:ascii="宋体" w:hAnsi="宋体" w:cs="宋体"/>
          <w:b/>
          <w:bCs/>
          <w:sz w:val="24"/>
          <w:lang w:eastAsia="zh-CN"/>
        </w:rPr>
        <w:t>超声内镜规格参数</w:t>
      </w:r>
    </w:p>
    <w:p>
      <w:pPr>
        <w:tabs>
          <w:tab w:val="left" w:pos="3660"/>
        </w:tabs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视野角               </w:t>
      </w:r>
      <w:r>
        <w:rPr>
          <w:rFonts w:hint="eastAsia"/>
          <w:sz w:val="28"/>
          <w:szCs w:val="28"/>
        </w:rPr>
        <w:t>120°</w:t>
      </w:r>
    </w:p>
    <w:p>
      <w:pPr>
        <w:tabs>
          <w:tab w:val="left" w:pos="2909"/>
        </w:tabs>
        <w:jc w:val="lef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视野方向</w:t>
      </w:r>
      <w:r>
        <w:rPr>
          <w:rFonts w:ascii="新宋体" w:hAnsi="新宋体" w:eastAsia="新宋体"/>
          <w:sz w:val="28"/>
          <w:szCs w:val="28"/>
        </w:rPr>
        <w:t xml:space="preserve"> </w:t>
      </w:r>
      <w:r>
        <w:rPr>
          <w:rFonts w:ascii="新宋体" w:hAnsi="新宋体" w:eastAsia="新宋体"/>
          <w:sz w:val="28"/>
          <w:szCs w:val="28"/>
        </w:rPr>
        <w:tab/>
      </w:r>
      <w:r>
        <w:rPr>
          <w:rFonts w:hint="eastAsia" w:ascii="新宋体" w:hAnsi="新宋体" w:eastAsia="新宋体"/>
          <w:sz w:val="28"/>
          <w:szCs w:val="28"/>
        </w:rPr>
        <w:t>直视</w:t>
      </w:r>
    </w:p>
    <w:p>
      <w:pPr>
        <w:tabs>
          <w:tab w:val="left" w:pos="3660"/>
        </w:tabs>
        <w:spacing w:line="360" w:lineRule="auto"/>
        <w:jc w:val="left"/>
        <w:rPr>
          <w:rFonts w:hint="eastAsia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景深</w:t>
      </w:r>
      <w:r>
        <w:rPr>
          <w:rFonts w:ascii="新宋体" w:hAnsi="新宋体" w:eastAsia="新宋体"/>
          <w:sz w:val="28"/>
          <w:szCs w:val="28"/>
        </w:rPr>
        <w:t xml:space="preserve"> </w:t>
      </w:r>
      <w:r>
        <w:rPr>
          <w:rFonts w:hint="eastAsia" w:ascii="新宋体" w:hAnsi="新宋体" w:eastAsia="新宋体"/>
          <w:sz w:val="28"/>
          <w:szCs w:val="28"/>
        </w:rPr>
        <w:t xml:space="preserve">                3-100mm</w:t>
      </w:r>
    </w:p>
    <w:p>
      <w:pPr>
        <w:tabs>
          <w:tab w:val="left" w:pos="2909"/>
        </w:tabs>
        <w:jc w:val="lef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弯曲角度</w:t>
      </w:r>
      <w:r>
        <w:rPr>
          <w:rFonts w:ascii="新宋体" w:hAnsi="新宋体" w:eastAsia="新宋体"/>
          <w:sz w:val="28"/>
          <w:szCs w:val="28"/>
        </w:rPr>
        <w:t xml:space="preserve"> </w:t>
      </w:r>
      <w:r>
        <w:rPr>
          <w:rFonts w:ascii="新宋体" w:hAnsi="新宋体" w:eastAsia="新宋体"/>
          <w:sz w:val="28"/>
          <w:szCs w:val="28"/>
        </w:rPr>
        <w:tab/>
      </w:r>
      <w:r>
        <w:rPr>
          <w:rFonts w:hint="eastAsia" w:ascii="新宋体" w:hAnsi="新宋体" w:eastAsia="新宋体"/>
          <w:sz w:val="28"/>
          <w:szCs w:val="28"/>
        </w:rPr>
        <w:t>上</w:t>
      </w:r>
      <w:r>
        <w:rPr>
          <w:rFonts w:ascii="新宋体" w:hAnsi="新宋体" w:eastAsia="新宋体"/>
          <w:sz w:val="28"/>
          <w:szCs w:val="28"/>
        </w:rPr>
        <w:t xml:space="preserve">  </w:t>
      </w:r>
      <w:r>
        <w:rPr>
          <w:rFonts w:hint="eastAsia" w:ascii="新宋体" w:hAnsi="新宋体" w:eastAsia="新宋体"/>
          <w:sz w:val="28"/>
          <w:szCs w:val="28"/>
        </w:rPr>
        <w:t>180°，下</w:t>
      </w:r>
      <w:r>
        <w:rPr>
          <w:rFonts w:ascii="新宋体" w:hAnsi="新宋体" w:eastAsia="新宋体"/>
          <w:sz w:val="28"/>
          <w:szCs w:val="28"/>
        </w:rPr>
        <w:t xml:space="preserve">  </w:t>
      </w:r>
      <w:r>
        <w:rPr>
          <w:rFonts w:hint="eastAsia" w:ascii="新宋体" w:hAnsi="新宋体" w:eastAsia="新宋体"/>
          <w:sz w:val="28"/>
          <w:szCs w:val="28"/>
        </w:rPr>
        <w:t>90°，左90°，右90°</w:t>
      </w:r>
    </w:p>
    <w:p>
      <w:pPr>
        <w:tabs>
          <w:tab w:val="left" w:pos="2909"/>
        </w:tabs>
        <w:jc w:val="lef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先端部外径</w:t>
      </w:r>
      <w:r>
        <w:rPr>
          <w:rFonts w:ascii="新宋体" w:hAnsi="新宋体" w:eastAsia="新宋体"/>
          <w:sz w:val="28"/>
          <w:szCs w:val="28"/>
        </w:rPr>
        <w:tab/>
      </w:r>
      <w:r>
        <w:rPr>
          <w:rFonts w:hint="eastAsia" w:ascii="新宋体" w:hAnsi="新宋体" w:eastAsia="新宋体"/>
          <w:sz w:val="28"/>
          <w:szCs w:val="28"/>
        </w:rPr>
        <w:t>14.6mm</w:t>
      </w:r>
    </w:p>
    <w:p>
      <w:pPr>
        <w:tabs>
          <w:tab w:val="left" w:pos="2909"/>
        </w:tabs>
        <w:jc w:val="left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插入部外径</w:t>
      </w:r>
      <w:r>
        <w:rPr>
          <w:rFonts w:ascii="新宋体" w:hAnsi="新宋体" w:eastAsia="新宋体"/>
          <w:sz w:val="28"/>
          <w:szCs w:val="28"/>
        </w:rPr>
        <w:t xml:space="preserve"> </w:t>
      </w:r>
      <w:r>
        <w:rPr>
          <w:rFonts w:ascii="新宋体" w:hAnsi="新宋体" w:eastAsia="新宋体"/>
          <w:sz w:val="28"/>
          <w:szCs w:val="28"/>
        </w:rPr>
        <w:tab/>
      </w:r>
      <w:r>
        <w:rPr>
          <w:rFonts w:hint="eastAsia" w:ascii="新宋体" w:hAnsi="新宋体" w:eastAsia="新宋体"/>
          <w:sz w:val="28"/>
          <w:szCs w:val="28"/>
        </w:rPr>
        <w:t>12.6</w:t>
      </w:r>
      <w:r>
        <w:rPr>
          <w:rFonts w:ascii="新宋体" w:hAnsi="新宋体" w:eastAsia="新宋体"/>
          <w:sz w:val="28"/>
          <w:szCs w:val="28"/>
        </w:rPr>
        <w:t>mm</w:t>
      </w:r>
    </w:p>
    <w:p>
      <w:pPr>
        <w:tabs>
          <w:tab w:val="left" w:pos="2909"/>
        </w:tabs>
        <w:jc w:val="lef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工作长度</w:t>
      </w:r>
      <w:r>
        <w:rPr>
          <w:rFonts w:ascii="新宋体" w:hAnsi="新宋体" w:eastAsia="新宋体"/>
          <w:sz w:val="28"/>
          <w:szCs w:val="28"/>
        </w:rPr>
        <w:t xml:space="preserve"> </w:t>
      </w:r>
      <w:r>
        <w:rPr>
          <w:rFonts w:ascii="新宋体" w:hAnsi="新宋体" w:eastAsia="新宋体"/>
          <w:sz w:val="28"/>
          <w:szCs w:val="28"/>
        </w:rPr>
        <w:tab/>
      </w:r>
      <w:r>
        <w:rPr>
          <w:rFonts w:hint="eastAsia" w:ascii="新宋体" w:hAnsi="新宋体" w:eastAsia="新宋体"/>
          <w:sz w:val="28"/>
          <w:szCs w:val="28"/>
        </w:rPr>
        <w:t>1245</w:t>
      </w:r>
      <w:r>
        <w:rPr>
          <w:rFonts w:ascii="新宋体" w:hAnsi="新宋体" w:eastAsia="新宋体"/>
          <w:sz w:val="28"/>
          <w:szCs w:val="28"/>
        </w:rPr>
        <w:t>mm</w:t>
      </w:r>
    </w:p>
    <w:p>
      <w:pPr>
        <w:tabs>
          <w:tab w:val="left" w:pos="2909"/>
        </w:tabs>
        <w:jc w:val="lef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全长</w:t>
      </w:r>
      <w:r>
        <w:rPr>
          <w:rFonts w:ascii="新宋体" w:hAnsi="新宋体" w:eastAsia="新宋体"/>
          <w:sz w:val="28"/>
          <w:szCs w:val="28"/>
        </w:rPr>
        <w:t xml:space="preserve"> </w:t>
      </w:r>
      <w:r>
        <w:rPr>
          <w:rFonts w:ascii="新宋体" w:hAnsi="新宋体" w:eastAsia="新宋体"/>
          <w:sz w:val="28"/>
          <w:szCs w:val="28"/>
        </w:rPr>
        <w:tab/>
      </w:r>
      <w:r>
        <w:rPr>
          <w:rFonts w:hint="eastAsia" w:ascii="新宋体" w:hAnsi="新宋体" w:eastAsia="新宋体"/>
          <w:sz w:val="28"/>
          <w:szCs w:val="28"/>
        </w:rPr>
        <w:t>156</w:t>
      </w:r>
      <w:r>
        <w:rPr>
          <w:rFonts w:ascii="新宋体" w:hAnsi="新宋体" w:eastAsia="新宋体"/>
          <w:sz w:val="28"/>
          <w:szCs w:val="28"/>
        </w:rPr>
        <w:t>0mm</w:t>
      </w:r>
    </w:p>
    <w:p>
      <w:pPr>
        <w:tabs>
          <w:tab w:val="left" w:pos="2909"/>
        </w:tabs>
        <w:jc w:val="left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钳子最小可视距离</w:t>
      </w:r>
      <w:r>
        <w:rPr>
          <w:rFonts w:ascii="新宋体" w:hAnsi="新宋体" w:eastAsia="新宋体"/>
          <w:sz w:val="28"/>
          <w:szCs w:val="28"/>
        </w:rPr>
        <w:t xml:space="preserve"> </w:t>
      </w:r>
      <w:r>
        <w:rPr>
          <w:rFonts w:ascii="新宋体" w:hAnsi="新宋体" w:eastAsia="新宋体"/>
          <w:sz w:val="28"/>
          <w:szCs w:val="28"/>
        </w:rPr>
        <w:tab/>
      </w:r>
      <w:r>
        <w:rPr>
          <w:rFonts w:hint="eastAsia" w:ascii="新宋体" w:hAnsi="新宋体" w:eastAsia="新宋体"/>
          <w:sz w:val="28"/>
          <w:szCs w:val="28"/>
        </w:rPr>
        <w:t>距先端部5</w:t>
      </w:r>
      <w:r>
        <w:rPr>
          <w:rFonts w:ascii="新宋体" w:hAnsi="新宋体" w:eastAsia="新宋体"/>
          <w:sz w:val="28"/>
          <w:szCs w:val="28"/>
        </w:rPr>
        <w:t xml:space="preserve">mm  </w:t>
      </w:r>
    </w:p>
    <w:p>
      <w:pPr>
        <w:tabs>
          <w:tab w:val="left" w:pos="2909"/>
        </w:tabs>
        <w:jc w:val="lef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钳子管道内径</w:t>
      </w:r>
      <w:r>
        <w:rPr>
          <w:rFonts w:ascii="新宋体" w:hAnsi="新宋体" w:eastAsia="新宋体"/>
          <w:sz w:val="28"/>
          <w:szCs w:val="28"/>
        </w:rPr>
        <w:t xml:space="preserve"> </w:t>
      </w:r>
      <w:r>
        <w:rPr>
          <w:rFonts w:ascii="新宋体" w:hAnsi="新宋体" w:eastAsia="新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≥</w:t>
      </w:r>
      <w:r>
        <w:rPr>
          <w:rFonts w:hint="eastAsia" w:ascii="新宋体" w:hAnsi="新宋体" w:eastAsia="新宋体"/>
          <w:sz w:val="28"/>
          <w:szCs w:val="28"/>
        </w:rPr>
        <w:t>3.7</w:t>
      </w:r>
      <w:r>
        <w:rPr>
          <w:rFonts w:ascii="新宋体" w:hAnsi="新宋体" w:eastAsia="新宋体"/>
          <w:sz w:val="28"/>
          <w:szCs w:val="28"/>
        </w:rPr>
        <w:t>mm</w:t>
      </w:r>
    </w:p>
    <w:p>
      <w:pPr>
        <w:tabs>
          <w:tab w:val="left" w:pos="2909"/>
        </w:tabs>
        <w:jc w:val="lef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带副送水管道</w:t>
      </w:r>
    </w:p>
    <w:p>
      <w:pPr>
        <w:tabs>
          <w:tab w:val="left" w:pos="2909"/>
        </w:tabs>
        <w:jc w:val="lef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扫描方式：电子凸阵扫描</w:t>
      </w:r>
    </w:p>
    <w:p>
      <w:pPr>
        <w:tabs>
          <w:tab w:val="left" w:pos="2909"/>
        </w:tabs>
        <w:jc w:val="lef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扫描方向：平行于插入方向</w:t>
      </w:r>
    </w:p>
    <w:p>
      <w:pPr>
        <w:tabs>
          <w:tab w:val="left" w:pos="2909"/>
        </w:tabs>
        <w:jc w:val="lef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频率：5、6、7.5、10、12MHz</w:t>
      </w:r>
    </w:p>
    <w:p>
      <w:pPr>
        <w:tabs>
          <w:tab w:val="left" w:pos="2909"/>
        </w:tabs>
        <w:jc w:val="lef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扫描范围：90°</w:t>
      </w:r>
    </w:p>
    <w:p>
      <w:pPr>
        <w:tabs>
          <w:tab w:val="left" w:pos="2909"/>
        </w:tabs>
        <w:jc w:val="lef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接触方法：无菌脱氧水浸法、直接接触法</w:t>
      </w:r>
    </w:p>
    <w:p>
      <w:pPr>
        <w:tabs>
          <w:tab w:val="left" w:pos="2909"/>
        </w:tabs>
        <w:jc w:val="left"/>
        <w:rPr>
          <w:rFonts w:hint="eastAsia" w:ascii="新宋体" w:hAnsi="新宋体" w:eastAsia="新宋体"/>
          <w:sz w:val="28"/>
          <w:szCs w:val="28"/>
        </w:rPr>
      </w:pPr>
    </w:p>
    <w:p>
      <w:pPr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三、售后服务：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</w:rPr>
        <w:t>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3.4</w:t>
      </w:r>
      <w:r>
        <w:rPr>
          <w:rFonts w:hint="eastAsia" w:ascii="宋体" w:hAnsi="宋体" w:cs="宋体"/>
          <w:sz w:val="24"/>
        </w:rPr>
        <w:t>卖方提供工程师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人次</w:t>
      </w:r>
      <w:r>
        <w:rPr>
          <w:rFonts w:ascii="宋体" w:hAnsi="宋体" w:cs="宋体"/>
          <w:sz w:val="24"/>
        </w:rPr>
        <w:t>/1</w:t>
      </w:r>
      <w:r>
        <w:rPr>
          <w:rFonts w:hint="eastAsia" w:ascii="宋体" w:hAnsi="宋体" w:cs="宋体"/>
          <w:sz w:val="24"/>
        </w:rPr>
        <w:t>周技术维修培训。若未提供培训，按合同总金额的</w:t>
      </w:r>
      <w:r>
        <w:rPr>
          <w:rFonts w:ascii="宋体" w:hAnsi="宋体" w:cs="宋体"/>
          <w:sz w:val="24"/>
        </w:rPr>
        <w:t>1%</w:t>
      </w:r>
      <w:r>
        <w:rPr>
          <w:rFonts w:hint="eastAsia" w:ascii="宋体" w:hAnsi="宋体" w:cs="宋体"/>
          <w:sz w:val="24"/>
        </w:rPr>
        <w:t>扣除。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3.5</w:t>
      </w:r>
      <w:r>
        <w:rPr>
          <w:rFonts w:hint="eastAsia" w:ascii="宋体" w:hAnsi="宋体" w:cs="宋体"/>
          <w:sz w:val="24"/>
        </w:rPr>
        <w:t>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</w:t>
      </w:r>
      <w:r>
        <w:rPr>
          <w:rFonts w:ascii="宋体" w:hAnsi="宋体" w:cs="宋体"/>
          <w:sz w:val="24"/>
        </w:rPr>
        <w:t>24</w:t>
      </w:r>
      <w:r>
        <w:rPr>
          <w:rFonts w:hint="eastAsia" w:ascii="宋体" w:hAnsi="宋体" w:cs="宋体"/>
          <w:sz w:val="24"/>
        </w:rPr>
        <w:t>小时内解决故障。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3.6</w:t>
      </w:r>
      <w:r>
        <w:rPr>
          <w:rFonts w:hint="eastAsia" w:ascii="宋体" w:hAnsi="宋体" w:cs="宋体"/>
          <w:sz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3.7</w:t>
      </w:r>
      <w:r>
        <w:rPr>
          <w:rFonts w:hint="eastAsia" w:ascii="宋体" w:hAnsi="宋体" w:cs="宋体"/>
          <w:sz w:val="24"/>
        </w:rPr>
        <w:t>供方免费提供设备操作手册和维护保养手册。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3.8</w:t>
      </w:r>
      <w:r>
        <w:rPr>
          <w:rFonts w:hint="eastAsia" w:ascii="宋体" w:hAnsi="宋体" w:cs="宋体"/>
          <w:sz w:val="24"/>
        </w:rPr>
        <w:t>供方免费提供设备的操作培训。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3.9</w:t>
      </w:r>
      <w:r>
        <w:rPr>
          <w:rFonts w:hint="eastAsia" w:ascii="宋体" w:hAnsi="宋体" w:cs="宋体"/>
          <w:sz w:val="24"/>
        </w:rPr>
        <w:t>供方免费提供安装、调试设备的耗品。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3.10</w:t>
      </w:r>
      <w:r>
        <w:rPr>
          <w:rFonts w:hint="eastAsia" w:ascii="宋体" w:hAnsi="宋体" w:cs="宋体"/>
          <w:sz w:val="24"/>
        </w:rPr>
        <w:t>供方需提供维修能力证明材料。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、其他要求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4.1</w:t>
      </w:r>
      <w:r>
        <w:rPr>
          <w:rFonts w:hint="eastAsia" w:ascii="宋体" w:hAnsi="宋体" w:cs="宋体"/>
          <w:sz w:val="24"/>
        </w:rPr>
        <w:t>、投标设备的需提供经权威机构</w:t>
      </w:r>
      <w:r>
        <w:rPr>
          <w:rFonts w:ascii="宋体" w:hAnsi="宋体" w:cs="宋体"/>
          <w:sz w:val="24"/>
        </w:rPr>
        <w:t>CE</w:t>
      </w:r>
      <w:r>
        <w:rPr>
          <w:rFonts w:hint="eastAsia" w:ascii="宋体" w:hAnsi="宋体" w:cs="宋体"/>
          <w:sz w:val="24"/>
        </w:rPr>
        <w:t>或</w:t>
      </w:r>
      <w:r>
        <w:rPr>
          <w:rFonts w:ascii="宋体" w:hAnsi="宋体" w:cs="宋体"/>
          <w:sz w:val="24"/>
        </w:rPr>
        <w:t>FDA</w:t>
      </w:r>
      <w:r>
        <w:rPr>
          <w:rFonts w:hint="eastAsia" w:ascii="宋体" w:hAnsi="宋体" w:cs="宋体"/>
          <w:sz w:val="24"/>
        </w:rPr>
        <w:t>认证和原厂家技术白皮书（</w:t>
      </w:r>
      <w:r>
        <w:rPr>
          <w:rFonts w:ascii="宋体" w:hAnsi="宋体" w:cs="宋体"/>
          <w:sz w:val="24"/>
        </w:rPr>
        <w:t>Data Sheet</w:t>
      </w:r>
      <w:r>
        <w:rPr>
          <w:rFonts w:hint="eastAsia" w:ascii="宋体" w:hAnsi="宋体" w:cs="宋体"/>
          <w:sz w:val="24"/>
        </w:rPr>
        <w:t>）及相关资料（文字、图片），如有虚假和伪造，一经发现核实，将无条件废标；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4.2</w:t>
      </w:r>
      <w:r>
        <w:rPr>
          <w:rFonts w:hint="eastAsia" w:ascii="宋体" w:hAnsi="宋体" w:cs="宋体"/>
          <w:sz w:val="24"/>
        </w:rPr>
        <w:t>、交货时提供海关报关单及商检证书。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4.3</w:t>
      </w:r>
      <w:r>
        <w:rPr>
          <w:rFonts w:hint="eastAsia" w:ascii="宋体" w:hAnsi="宋体" w:cs="宋体"/>
          <w:sz w:val="24"/>
        </w:rPr>
        <w:t>、提供所投型号产品的真实用户。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、交货期：一个月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6</w:t>
      </w:r>
      <w:r>
        <w:rPr>
          <w:rFonts w:hint="eastAsia" w:ascii="宋体" w:hAnsi="宋体" w:cs="宋体"/>
          <w:sz w:val="24"/>
        </w:rPr>
        <w:t>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ind w:firstLine="482" w:firstLineChars="200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</w:rPr>
        <w:t>否则为废标。投标商自己承诺仅供参考！</w:t>
      </w:r>
    </w:p>
    <w:p>
      <w:pPr>
        <w:rPr>
          <w:rFonts w:hint="eastAsia" w:ascii="宋体" w:hAnsi="宋体"/>
          <w:bCs/>
          <w:szCs w:val="21"/>
        </w:rPr>
      </w:pPr>
    </w:p>
    <w:p>
      <w:pPr>
        <w:tabs>
          <w:tab w:val="left" w:pos="2909"/>
        </w:tabs>
        <w:jc w:val="left"/>
        <w:rPr>
          <w:rFonts w:hint="eastAsia" w:ascii="新宋体" w:hAnsi="新宋体" w:eastAsia="新宋体"/>
          <w:sz w:val="28"/>
          <w:szCs w:val="28"/>
        </w:rPr>
      </w:pPr>
      <w:bookmarkStart w:id="0" w:name="_GoBack"/>
      <w:bookmarkEnd w:id="0"/>
    </w:p>
    <w:p>
      <w:pPr>
        <w:tabs>
          <w:tab w:val="left" w:pos="2909"/>
        </w:tabs>
        <w:jc w:val="left"/>
        <w:rPr>
          <w:rFonts w:hint="eastAsia" w:ascii="新宋体" w:hAnsi="新宋体" w:eastAsia="新宋体"/>
          <w:sz w:val="28"/>
          <w:szCs w:val="28"/>
        </w:rPr>
      </w:pPr>
    </w:p>
    <w:p/>
    <w:sectPr>
      <w:pgSz w:w="11906" w:h="16838"/>
      <w:pgMar w:top="1440" w:right="74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鼎简中黑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粗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13E8"/>
    <w:rsid w:val="000371E9"/>
    <w:rsid w:val="001125AE"/>
    <w:rsid w:val="0018320D"/>
    <w:rsid w:val="0019574F"/>
    <w:rsid w:val="00276A15"/>
    <w:rsid w:val="00280A23"/>
    <w:rsid w:val="004513E8"/>
    <w:rsid w:val="00526D8A"/>
    <w:rsid w:val="005F697F"/>
    <w:rsid w:val="007551BE"/>
    <w:rsid w:val="0078414D"/>
    <w:rsid w:val="007A43BF"/>
    <w:rsid w:val="00832A78"/>
    <w:rsid w:val="009048E6"/>
    <w:rsid w:val="00953069"/>
    <w:rsid w:val="0097409A"/>
    <w:rsid w:val="00BD46D9"/>
    <w:rsid w:val="00D0381A"/>
    <w:rsid w:val="00FA6A05"/>
    <w:rsid w:val="54B2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字符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225</Words>
  <Characters>1289</Characters>
  <Lines>10</Lines>
  <Paragraphs>3</Paragraphs>
  <TotalTime>0</TotalTime>
  <ScaleCrop>false</ScaleCrop>
  <LinksUpToDate>false</LinksUpToDate>
  <CharactersWithSpaces>1511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2017-08-02T17:03:00Z</dcterms:created>
  <dc:creator>apple</dc:creator>
  <cp:lastModifiedBy>苗新建</cp:lastModifiedBy>
  <dcterms:modified xsi:type="dcterms:W3CDTF">2019-07-23T09:27:51Z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