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CB" w:rsidRDefault="00C209CB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C209CB" w:rsidRDefault="00C209CB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小型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PCR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仪参数要求</w:t>
      </w:r>
    </w:p>
    <w:p w:rsidR="00C209CB" w:rsidRDefault="00C209CB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本次商谈的内容为连云港市第一人民医院小型</w:t>
      </w:r>
      <w:r>
        <w:rPr>
          <w:rFonts w:ascii="宋体" w:hAnsi="宋体" w:cs="宋体"/>
          <w:sz w:val="24"/>
          <w:szCs w:val="24"/>
        </w:rPr>
        <w:t>PCR</w:t>
      </w:r>
      <w:r>
        <w:rPr>
          <w:rFonts w:ascii="宋体" w:hAnsi="宋体" w:cs="宋体" w:hint="eastAsia"/>
          <w:sz w:val="24"/>
          <w:szCs w:val="24"/>
        </w:rPr>
        <w:t>仪采购，卖方负责将小型</w:t>
      </w:r>
      <w:r>
        <w:rPr>
          <w:rFonts w:ascii="宋体" w:hAnsi="宋体" w:cs="宋体"/>
          <w:sz w:val="24"/>
          <w:szCs w:val="24"/>
        </w:rPr>
        <w:t>PCR</w:t>
      </w:r>
      <w:r>
        <w:rPr>
          <w:rFonts w:ascii="宋体" w:hAnsi="宋体" w:cs="宋体" w:hint="eastAsia"/>
          <w:sz w:val="24"/>
          <w:szCs w:val="24"/>
        </w:rPr>
        <w:t>仪运抵买方指定机房，完成安装，检测、验收合格，交付买方使用，即交钥匙工程。</w:t>
      </w:r>
    </w:p>
    <w:p w:rsidR="00C209CB" w:rsidRPr="00CA21BE" w:rsidRDefault="00C209CB">
      <w:pPr>
        <w:numPr>
          <w:ilvl w:val="0"/>
          <w:numId w:val="1"/>
        </w:num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参数要求：</w:t>
      </w:r>
    </w:p>
    <w:p w:rsidR="00C209CB" w:rsidRDefault="00C209CB" w:rsidP="00CA21B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电压：</w:t>
      </w:r>
      <w:r>
        <w:rPr>
          <w:rFonts w:ascii="宋体" w:hAnsi="宋体" w:cs="宋体"/>
          <w:sz w:val="24"/>
          <w:szCs w:val="24"/>
        </w:rPr>
        <w:t>220–240 VAC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50–60 Hz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独立的控温区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具备梯度</w:t>
      </w:r>
      <w:r>
        <w:rPr>
          <w:rFonts w:ascii="宋体" w:hAnsi="宋体" w:cs="宋体"/>
          <w:sz w:val="24"/>
          <w:szCs w:val="24"/>
        </w:rPr>
        <w:t>PCR</w:t>
      </w:r>
      <w:r>
        <w:rPr>
          <w:rFonts w:ascii="宋体" w:hAnsi="宋体" w:cs="宋体" w:hint="eastAsia"/>
          <w:sz w:val="24"/>
          <w:szCs w:val="24"/>
        </w:rPr>
        <w:t>设置功能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样本容量：</w:t>
      </w:r>
      <w:r>
        <w:rPr>
          <w:rFonts w:ascii="宋体" w:hAnsi="宋体" w:cs="宋体"/>
          <w:sz w:val="24"/>
          <w:szCs w:val="24"/>
        </w:rPr>
        <w:t>&gt;60</w:t>
      </w:r>
      <w:r>
        <w:rPr>
          <w:rFonts w:ascii="宋体" w:hAnsi="宋体" w:cs="宋体" w:hint="eastAsia"/>
          <w:sz w:val="24"/>
          <w:szCs w:val="24"/>
        </w:rPr>
        <w:t>管，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最大升降温速率：</w:t>
      </w:r>
      <w:r>
        <w:rPr>
          <w:rFonts w:ascii="宋体" w:hAnsi="宋体" w:cs="宋体"/>
          <w:sz w:val="24"/>
          <w:szCs w:val="24"/>
        </w:rPr>
        <w:t>&gt;3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C/sec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平均升降温速率：≥</w:t>
      </w:r>
      <w:r>
        <w:rPr>
          <w:rFonts w:ascii="宋体" w:hAnsi="宋体" w:cs="宋体"/>
          <w:sz w:val="24"/>
          <w:szCs w:val="24"/>
        </w:rPr>
        <w:t>2.5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C/sec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温度范围：</w:t>
      </w:r>
      <w:r>
        <w:rPr>
          <w:rFonts w:ascii="宋体" w:hAnsi="宋体" w:cs="宋体"/>
          <w:sz w:val="24"/>
          <w:szCs w:val="24"/>
        </w:rPr>
        <w:t>4–100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7.</w:t>
      </w:r>
      <w:r>
        <w:rPr>
          <w:rFonts w:ascii="宋体" w:hAnsi="宋体" w:cs="宋体" w:hint="eastAsia"/>
          <w:sz w:val="24"/>
          <w:szCs w:val="24"/>
        </w:rPr>
        <w:t>温度精度：≤±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 xml:space="preserve">C </w:t>
      </w:r>
      <w:r>
        <w:rPr>
          <w:rFonts w:ascii="宋体" w:hAnsi="宋体" w:cs="宋体" w:hint="eastAsia"/>
          <w:sz w:val="24"/>
          <w:szCs w:val="24"/>
        </w:rPr>
        <w:t>设定温度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8.</w:t>
      </w:r>
      <w:r>
        <w:rPr>
          <w:rFonts w:ascii="宋体" w:hAnsi="宋体" w:cs="宋体" w:hint="eastAsia"/>
          <w:sz w:val="24"/>
          <w:szCs w:val="24"/>
        </w:rPr>
        <w:t>温度均匀性：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≤±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（孔间温度差）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9.</w:t>
      </w:r>
      <w:r>
        <w:rPr>
          <w:rFonts w:ascii="宋体" w:hAnsi="宋体" w:cs="宋体" w:hint="eastAsia"/>
          <w:sz w:val="24"/>
          <w:szCs w:val="24"/>
        </w:rPr>
        <w:t>梯度精度：≤±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 xml:space="preserve">C </w:t>
      </w:r>
      <w:r>
        <w:rPr>
          <w:rFonts w:ascii="宋体" w:hAnsi="宋体" w:cs="宋体" w:hint="eastAsia"/>
          <w:sz w:val="24"/>
          <w:szCs w:val="24"/>
        </w:rPr>
        <w:t>预设温度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10.</w:t>
      </w:r>
      <w:r>
        <w:rPr>
          <w:rFonts w:ascii="宋体" w:hAnsi="宋体" w:cs="宋体" w:hint="eastAsia"/>
          <w:sz w:val="24"/>
          <w:szCs w:val="24"/>
        </w:rPr>
        <w:t>行均匀性：≤±</w:t>
      </w:r>
      <w:r>
        <w:rPr>
          <w:rFonts w:ascii="宋体" w:hAnsi="宋体" w:cs="宋体"/>
          <w:sz w:val="24"/>
          <w:szCs w:val="24"/>
        </w:rPr>
        <w:t>0.5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（行内孔间温度差）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11.</w:t>
      </w:r>
      <w:r>
        <w:rPr>
          <w:rFonts w:ascii="宋体" w:hAnsi="宋体" w:cs="宋体" w:hint="eastAsia"/>
          <w:sz w:val="24"/>
          <w:szCs w:val="24"/>
        </w:rPr>
        <w:t>梯度范围：</w:t>
      </w:r>
      <w:r>
        <w:rPr>
          <w:rFonts w:ascii="宋体" w:hAnsi="宋体" w:cs="宋体"/>
          <w:sz w:val="24"/>
          <w:szCs w:val="24"/>
        </w:rPr>
        <w:t>30–100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</w:p>
    <w:p w:rsidR="00C209CB" w:rsidRDefault="00C209CB" w:rsidP="005C485E">
      <w:pPr>
        <w:spacing w:line="360" w:lineRule="auto"/>
        <w:ind w:firstLineChars="200" w:firstLine="316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12.</w:t>
      </w:r>
      <w:r>
        <w:rPr>
          <w:rFonts w:ascii="宋体" w:hAnsi="宋体" w:cs="宋体" w:hint="eastAsia"/>
          <w:sz w:val="24"/>
          <w:szCs w:val="24"/>
        </w:rPr>
        <w:t>温度差异范围：</w:t>
      </w:r>
      <w:r>
        <w:rPr>
          <w:rFonts w:ascii="宋体" w:hAnsi="宋体" w:cs="宋体"/>
          <w:sz w:val="24"/>
          <w:szCs w:val="24"/>
        </w:rPr>
        <w:t>1–25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</w:p>
    <w:p w:rsidR="00C209CB" w:rsidRDefault="00C209CB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C209CB" w:rsidRDefault="00C209CB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C209CB" w:rsidRDefault="00C209CB" w:rsidP="005C485E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C209CB" w:rsidRDefault="00C209CB" w:rsidP="005C485E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C209CB" w:rsidRDefault="00C209CB" w:rsidP="005C485E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C209CB" w:rsidRDefault="00C209CB">
      <w:pPr>
        <w:rPr>
          <w:rFonts w:cs="Times New Roman"/>
        </w:rPr>
      </w:pPr>
    </w:p>
    <w:p w:rsidR="00C209CB" w:rsidRDefault="00C209CB">
      <w:pPr>
        <w:rPr>
          <w:rFonts w:ascii="宋体" w:cs="Times New Roman"/>
          <w:sz w:val="24"/>
          <w:szCs w:val="24"/>
        </w:rPr>
      </w:pPr>
    </w:p>
    <w:sectPr w:rsidR="00C209CB" w:rsidSect="00A9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EE42"/>
    <w:multiLevelType w:val="singleLevel"/>
    <w:tmpl w:val="5AA8EE4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1A0349"/>
    <w:rsid w:val="00226AA7"/>
    <w:rsid w:val="002D79C3"/>
    <w:rsid w:val="00373FC1"/>
    <w:rsid w:val="003E6052"/>
    <w:rsid w:val="00433762"/>
    <w:rsid w:val="004F6592"/>
    <w:rsid w:val="005C485E"/>
    <w:rsid w:val="00645EF0"/>
    <w:rsid w:val="006D3E40"/>
    <w:rsid w:val="008068F1"/>
    <w:rsid w:val="00A60D47"/>
    <w:rsid w:val="00A906E7"/>
    <w:rsid w:val="00B1476C"/>
    <w:rsid w:val="00B6338F"/>
    <w:rsid w:val="00C10BD9"/>
    <w:rsid w:val="00C209CB"/>
    <w:rsid w:val="00CA21BE"/>
    <w:rsid w:val="00CA594E"/>
    <w:rsid w:val="00DC5FFE"/>
    <w:rsid w:val="00EC10D7"/>
    <w:rsid w:val="040F69DA"/>
    <w:rsid w:val="29BE5D9E"/>
    <w:rsid w:val="308068B0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6E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06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_Style 2"/>
    <w:uiPriority w:val="99"/>
    <w:rsid w:val="00A906E7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148</Words>
  <Characters>850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5</cp:revision>
  <cp:lastPrinted>2016-12-06T07:33:00Z</cp:lastPrinted>
  <dcterms:created xsi:type="dcterms:W3CDTF">2017-04-25T08:21:00Z</dcterms:created>
  <dcterms:modified xsi:type="dcterms:W3CDTF">2018-03-28T09:54:00Z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