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jc w:val="left"/>
        <w:rPr>
          <w:sz w:val="24"/>
        </w:rPr>
      </w:pPr>
      <w:r>
        <w:rPr>
          <w:rFonts w:hint="eastAsia"/>
          <w:b/>
          <w:sz w:val="24"/>
          <w:lang w:val="en-US" w:eastAsia="zh-CN"/>
        </w:rPr>
        <w:t>1、</w:t>
      </w:r>
      <w:r>
        <w:rPr>
          <w:rFonts w:hint="eastAsia" w:ascii="宋体" w:hAnsi="宋体"/>
          <w:b/>
          <w:sz w:val="24"/>
        </w:rPr>
        <w:t>技术要求：</w:t>
      </w:r>
    </w:p>
    <w:p>
      <w:pPr>
        <w:spacing w:line="178" w:lineRule="exact"/>
        <w:jc w:val="left"/>
        <w:rPr>
          <w:sz w:val="24"/>
        </w:rPr>
      </w:pPr>
    </w:p>
    <w:p>
      <w:pPr>
        <w:numPr>
          <w:ilvl w:val="1"/>
          <w:numId w:val="1"/>
        </w:numPr>
        <w:spacing w:line="396" w:lineRule="auto"/>
        <w:ind w:firstLine="480" w:firstLineChars="200"/>
        <w:jc w:val="left"/>
        <w:rPr>
          <w:rFonts w:hint="eastAsia" w:ascii="宋体" w:hAnsi="宋体"/>
          <w:sz w:val="24"/>
        </w:rPr>
      </w:pPr>
      <w:r>
        <w:rPr>
          <w:rFonts w:hint="eastAsia" w:ascii="宋体" w:hAnsi="宋体"/>
          <w:sz w:val="24"/>
        </w:rPr>
        <w:t>所提供的产品必须具备国家强制性产品认证证书(3C)；必须经过国家固定灭火系统和耐火构件质量监督检测中心出具的设备检测合格报告；须符合《中华人民共和国公共安全行业标准</w:t>
      </w:r>
      <w:r>
        <w:rPr>
          <w:rFonts w:eastAsia="Times New Roman"/>
          <w:sz w:val="24"/>
        </w:rPr>
        <w:t xml:space="preserve"> GA498-2012 </w:t>
      </w:r>
      <w:r>
        <w:rPr>
          <w:rFonts w:hint="eastAsia" w:ascii="宋体" w:hAnsi="宋体"/>
          <w:sz w:val="24"/>
        </w:rPr>
        <w:t>厨房设备灭火装置》的规定；投标人所提供产品所用的灭火剂需为食用油专用灭火剂，灭火剂质保期不少于2年。</w:t>
      </w:r>
    </w:p>
    <w:p>
      <w:pPr>
        <w:numPr>
          <w:ilvl w:val="1"/>
          <w:numId w:val="1"/>
        </w:numPr>
        <w:spacing w:line="396" w:lineRule="auto"/>
        <w:ind w:firstLine="480" w:firstLineChars="200"/>
        <w:jc w:val="left"/>
        <w:rPr>
          <w:rFonts w:eastAsia="Times New Roman"/>
          <w:sz w:val="24"/>
        </w:rPr>
      </w:pPr>
      <w:r>
        <w:rPr>
          <w:rFonts w:hint="eastAsia" w:ascii="宋体" w:hAnsi="宋体"/>
          <w:sz w:val="24"/>
        </w:rPr>
        <w:t>鉴于设备使用长期处于高温高湿的特殊环境，厨房常用清洗剂对铝合金制品产生化学反应，有严重腐蚀现象，故设备暴露于空气中的部件需为不锈钢或铜材质，不可为铝合金制品，附厨房设备灭火装置主材清单（附表一）。</w:t>
      </w:r>
    </w:p>
    <w:p>
      <w:pPr>
        <w:numPr>
          <w:ilvl w:val="1"/>
          <w:numId w:val="1"/>
        </w:numPr>
        <w:spacing w:line="396" w:lineRule="auto"/>
        <w:ind w:firstLine="480" w:firstLineChars="200"/>
        <w:jc w:val="left"/>
        <w:rPr>
          <w:sz w:val="24"/>
        </w:rPr>
      </w:pPr>
      <w:r>
        <w:rPr>
          <w:rFonts w:hint="eastAsia" w:ascii="宋体" w:hAnsi="宋体"/>
          <w:sz w:val="24"/>
        </w:rPr>
        <w:t>设备需提供两种型号，分别为单瓶组与双瓶组，并分别提供相应由</w:t>
      </w:r>
      <w:r>
        <w:rPr>
          <w:rFonts w:eastAsia="Times New Roman"/>
          <w:sz w:val="24"/>
        </w:rPr>
        <w:t>“</w:t>
      </w:r>
      <w:r>
        <w:rPr>
          <w:rFonts w:hint="eastAsia" w:ascii="宋体" w:hAnsi="宋体"/>
          <w:sz w:val="24"/>
        </w:rPr>
        <w:t>国家固定灭火系统和耐火构件质量监督中心检测</w:t>
      </w:r>
      <w:r>
        <w:rPr>
          <w:rFonts w:eastAsia="Times New Roman"/>
          <w:sz w:val="24"/>
        </w:rPr>
        <w:t>”</w:t>
      </w:r>
      <w:r>
        <w:rPr>
          <w:rFonts w:hint="eastAsia" w:ascii="宋体" w:hAnsi="宋体"/>
          <w:sz w:val="24"/>
        </w:rPr>
        <w:t>合格的检测报告。</w:t>
      </w:r>
    </w:p>
    <w:p>
      <w:pPr>
        <w:numPr>
          <w:ilvl w:val="1"/>
          <w:numId w:val="1"/>
        </w:numPr>
        <w:spacing w:line="396" w:lineRule="auto"/>
        <w:ind w:firstLine="480" w:firstLineChars="200"/>
        <w:jc w:val="left"/>
        <w:rPr>
          <w:sz w:val="24"/>
        </w:rPr>
      </w:pPr>
      <w:r>
        <w:rPr>
          <w:rFonts w:hint="eastAsia" w:ascii="宋体" w:hAnsi="宋体"/>
          <w:sz w:val="24"/>
        </w:rPr>
        <w:t>设备安装完成提供培训计划，免费负责培训使用方人员。</w:t>
      </w:r>
      <w:r>
        <w:rPr>
          <w:rFonts w:hint="eastAsia" w:ascii="宋体" w:hAnsi="宋体"/>
          <w:b/>
          <w:sz w:val="24"/>
          <w:u w:val="single"/>
        </w:rPr>
        <w:t>设备整体质保期不少于</w:t>
      </w:r>
      <w:r>
        <w:rPr>
          <w:rFonts w:eastAsia="Times New Roman"/>
          <w:b/>
          <w:sz w:val="24"/>
          <w:u w:val="single"/>
        </w:rPr>
        <w:t>2</w:t>
      </w:r>
      <w:r>
        <w:rPr>
          <w:rFonts w:hint="eastAsia" w:ascii="宋体" w:hAnsi="宋体"/>
          <w:b/>
          <w:sz w:val="24"/>
          <w:u w:val="single"/>
        </w:rPr>
        <w:t xml:space="preserve">年（投标人可自行承诺），质保期内共提供 </w:t>
      </w:r>
      <w:r>
        <w:rPr>
          <w:rFonts w:eastAsia="Times New Roman"/>
          <w:b/>
          <w:sz w:val="24"/>
          <w:u w:val="single"/>
        </w:rPr>
        <w:t>4</w:t>
      </w:r>
      <w:r>
        <w:rPr>
          <w:rFonts w:hint="eastAsia" w:ascii="宋体" w:hAnsi="宋体"/>
          <w:b/>
          <w:sz w:val="24"/>
          <w:u w:val="single"/>
        </w:rPr>
        <w:t xml:space="preserve"> 次免费维保，每间隔六个月完成一次。</w:t>
      </w:r>
    </w:p>
    <w:p>
      <w:pPr>
        <w:spacing w:line="396" w:lineRule="auto"/>
        <w:ind w:left="480"/>
        <w:jc w:val="left"/>
        <w:rPr>
          <w:rFonts w:eastAsia="Times New Roman"/>
          <w:sz w:val="24"/>
        </w:rPr>
      </w:pPr>
      <w:r>
        <w:rPr>
          <w:rFonts w:hint="eastAsia" w:ascii="宋体" w:hAnsi="宋体"/>
          <w:b/>
          <w:sz w:val="24"/>
          <w:lang w:val="en-US" w:eastAsia="zh-CN"/>
        </w:rPr>
        <w:t>2</w:t>
      </w:r>
      <w:r>
        <w:rPr>
          <w:rFonts w:hint="eastAsia" w:ascii="宋体" w:hAnsi="宋体"/>
          <w:b/>
          <w:sz w:val="24"/>
        </w:rPr>
        <w:t>、相关参数要求：</w:t>
      </w:r>
    </w:p>
    <w:p>
      <w:pPr>
        <w:spacing w:line="396" w:lineRule="auto"/>
        <w:ind w:firstLine="480" w:firstLineChars="200"/>
        <w:jc w:val="left"/>
        <w:rPr>
          <w:rFonts w:ascii="宋体" w:hAnsi="宋体"/>
          <w:sz w:val="24"/>
          <w:szCs w:val="24"/>
        </w:rPr>
      </w:pPr>
      <w:r>
        <w:rPr>
          <w:rFonts w:hint="eastAsia"/>
          <w:sz w:val="24"/>
          <w:szCs w:val="24"/>
          <w:lang w:val="en-US" w:eastAsia="zh-CN"/>
        </w:rPr>
        <w:t>2</w:t>
      </w:r>
      <w:r>
        <w:rPr>
          <w:rFonts w:eastAsia="Times New Roman"/>
          <w:sz w:val="24"/>
          <w:szCs w:val="24"/>
        </w:rPr>
        <w:t>.</w:t>
      </w:r>
      <w:r>
        <w:rPr>
          <w:rFonts w:hint="eastAsia"/>
          <w:sz w:val="24"/>
          <w:szCs w:val="24"/>
        </w:rPr>
        <w:t>1</w:t>
      </w:r>
      <w:r>
        <w:rPr>
          <w:rFonts w:hint="eastAsia" w:ascii="宋体" w:hAnsi="宋体"/>
          <w:sz w:val="24"/>
          <w:szCs w:val="24"/>
        </w:rPr>
        <w:t xml:space="preserve">每套单瓶组佩带喷嘴数量需为 </w:t>
      </w:r>
      <w:r>
        <w:rPr>
          <w:rFonts w:eastAsia="Times New Roman"/>
          <w:sz w:val="24"/>
          <w:szCs w:val="24"/>
        </w:rPr>
        <w:t>10</w:t>
      </w:r>
      <w:r>
        <w:rPr>
          <w:rFonts w:hint="eastAsia" w:ascii="宋体" w:hAnsi="宋体"/>
          <w:sz w:val="24"/>
          <w:szCs w:val="24"/>
        </w:rPr>
        <w:t xml:space="preserve"> 个，每套双瓶组佩带喷嘴数量需为 </w:t>
      </w:r>
      <w:r>
        <w:rPr>
          <w:rFonts w:eastAsia="Times New Roman"/>
          <w:sz w:val="24"/>
          <w:szCs w:val="24"/>
        </w:rPr>
        <w:t>18</w:t>
      </w:r>
      <w:r>
        <w:rPr>
          <w:rFonts w:hint="eastAsia" w:ascii="宋体" w:hAnsi="宋体"/>
          <w:sz w:val="24"/>
          <w:szCs w:val="24"/>
        </w:rPr>
        <w:t xml:space="preserve"> 个，其中包括灶台喷嘴及烟道喷嘴。每个喷嘴的灭火剂喷射量需</w:t>
      </w:r>
      <w:r>
        <w:rPr>
          <w:rFonts w:eastAsia="Times New Roman"/>
          <w:sz w:val="24"/>
          <w:szCs w:val="24"/>
        </w:rPr>
        <w:t>≥1.15L</w:t>
      </w:r>
      <w:r>
        <w:rPr>
          <w:rFonts w:hint="eastAsia" w:ascii="宋体" w:hAnsi="宋体"/>
          <w:sz w:val="24"/>
          <w:szCs w:val="24"/>
        </w:rPr>
        <w:t>，每个喷嘴的保护面积需</w:t>
      </w:r>
      <w:r>
        <w:rPr>
          <w:rFonts w:eastAsia="Times New Roman"/>
          <w:sz w:val="24"/>
          <w:szCs w:val="24"/>
        </w:rPr>
        <w:t>≥0.28</w:t>
      </w:r>
      <w:r>
        <w:rPr>
          <w:rFonts w:hint="eastAsia" w:ascii="宋体" w:hAnsi="宋体"/>
          <w:sz w:val="24"/>
          <w:szCs w:val="24"/>
        </w:rPr>
        <w:t xml:space="preserve"> ㎡。厨房设备灭火装置的每套工作压力，灭火剂管道工作压力需介于 </w:t>
      </w:r>
      <w:r>
        <w:rPr>
          <w:rFonts w:eastAsia="Times New Roman"/>
          <w:sz w:val="24"/>
          <w:szCs w:val="24"/>
        </w:rPr>
        <w:t>0.7-0.8Mpa,</w:t>
      </w:r>
      <w:r>
        <w:rPr>
          <w:rFonts w:hint="eastAsia" w:ascii="宋体" w:hAnsi="宋体"/>
          <w:sz w:val="24"/>
          <w:szCs w:val="24"/>
        </w:rPr>
        <w:t xml:space="preserve">启动动力瓶工作压力需介于 </w:t>
      </w:r>
      <w:r>
        <w:rPr>
          <w:rFonts w:eastAsia="Times New Roman"/>
          <w:sz w:val="24"/>
          <w:szCs w:val="24"/>
        </w:rPr>
        <w:t>10-12 Mpa</w:t>
      </w:r>
      <w:r>
        <w:rPr>
          <w:rFonts w:hint="eastAsia" w:ascii="宋体" w:hAnsi="宋体"/>
          <w:sz w:val="24"/>
          <w:szCs w:val="24"/>
        </w:rPr>
        <w:t>。</w:t>
      </w:r>
    </w:p>
    <w:p>
      <w:pPr>
        <w:spacing w:line="396" w:lineRule="auto"/>
        <w:ind w:firstLine="480" w:firstLineChars="200"/>
        <w:jc w:val="left"/>
        <w:rPr>
          <w:sz w:val="24"/>
        </w:rPr>
      </w:pPr>
      <w:r>
        <w:rPr>
          <w:rFonts w:hint="eastAsia"/>
          <w:sz w:val="24"/>
          <w:lang w:val="en-US" w:eastAsia="zh-CN"/>
        </w:rPr>
        <w:t>2</w:t>
      </w:r>
      <w:r>
        <w:rPr>
          <w:rFonts w:eastAsia="Times New Roman"/>
          <w:sz w:val="24"/>
        </w:rPr>
        <w:t>.</w:t>
      </w:r>
      <w:r>
        <w:rPr>
          <w:rFonts w:hint="eastAsia"/>
          <w:sz w:val="24"/>
        </w:rPr>
        <w:t>2</w:t>
      </w:r>
      <w:r>
        <w:rPr>
          <w:rFonts w:hint="eastAsia" w:ascii="宋体" w:hAnsi="宋体"/>
          <w:sz w:val="24"/>
        </w:rPr>
        <w:t>厨房设备灭火装置设置的启动应具有</w:t>
      </w:r>
      <w:r>
        <w:rPr>
          <w:rFonts w:hint="eastAsia" w:ascii="宋体" w:hAnsi="宋体"/>
          <w:b/>
          <w:sz w:val="24"/>
        </w:rPr>
        <w:t>自动控制、手动控制和机械应急操作</w:t>
      </w:r>
      <w:r>
        <w:rPr>
          <w:rFonts w:hint="eastAsia" w:ascii="宋体" w:hAnsi="宋体"/>
          <w:sz w:val="24"/>
        </w:rPr>
        <w:t>三种启动方式。厨房设备灭火装置灭火剂喷放时间在</w:t>
      </w:r>
      <w:r>
        <w:rPr>
          <w:rFonts w:eastAsia="Times New Roman"/>
          <w:sz w:val="24"/>
        </w:rPr>
        <w:t>12-30s</w:t>
      </w:r>
      <w:r>
        <w:rPr>
          <w:rFonts w:hint="eastAsia" w:ascii="宋体" w:hAnsi="宋体"/>
          <w:sz w:val="24"/>
        </w:rPr>
        <w:t>之间，不超过</w:t>
      </w:r>
      <w:r>
        <w:rPr>
          <w:rFonts w:eastAsia="Times New Roman"/>
          <w:sz w:val="24"/>
        </w:rPr>
        <w:t>60s</w:t>
      </w:r>
      <w:r>
        <w:rPr>
          <w:rFonts w:hint="eastAsia" w:ascii="宋体" w:hAnsi="宋体"/>
          <w:sz w:val="24"/>
        </w:rPr>
        <w:t>。</w:t>
      </w:r>
    </w:p>
    <w:p>
      <w:pPr>
        <w:tabs>
          <w:tab w:val="left" w:pos="840"/>
        </w:tabs>
        <w:overflowPunct w:val="0"/>
        <w:spacing w:line="396" w:lineRule="auto"/>
        <w:ind w:firstLine="480" w:firstLineChars="200"/>
        <w:rPr>
          <w:rFonts w:ascii="宋体" w:hAnsi="宋体"/>
          <w:b/>
          <w:sz w:val="24"/>
          <w:szCs w:val="24"/>
        </w:rPr>
      </w:pPr>
      <w:r>
        <w:rPr>
          <w:rFonts w:hint="eastAsia" w:ascii="宋体" w:hAnsi="宋体"/>
          <w:sz w:val="24"/>
          <w:szCs w:val="24"/>
          <w:lang w:val="en-US" w:eastAsia="zh-CN"/>
        </w:rPr>
        <w:t>2</w:t>
      </w:r>
      <w:r>
        <w:rPr>
          <w:rFonts w:hint="eastAsia" w:ascii="宋体" w:hAnsi="宋体"/>
          <w:sz w:val="24"/>
          <w:szCs w:val="24"/>
        </w:rPr>
        <w:t xml:space="preserve">.3灭火剂贮存容器在起火区域进行灭火，喷洒时间要不低于 </w:t>
      </w:r>
      <w:r>
        <w:rPr>
          <w:rFonts w:eastAsia="Times New Roman"/>
          <w:sz w:val="24"/>
          <w:szCs w:val="24"/>
        </w:rPr>
        <w:t>28</w:t>
      </w:r>
      <w:r>
        <w:rPr>
          <w:rFonts w:hint="eastAsia" w:ascii="宋体" w:hAnsi="宋体"/>
          <w:sz w:val="24"/>
          <w:szCs w:val="24"/>
        </w:rPr>
        <w:t xml:space="preserve"> 秒（实际工作中要</w:t>
      </w:r>
      <w:r>
        <w:rPr>
          <w:rFonts w:hint="eastAsia" w:ascii="宋体" w:hAnsi="宋体"/>
          <w:b/>
          <w:sz w:val="24"/>
          <w:szCs w:val="24"/>
        </w:rPr>
        <w:t>能够实现</w:t>
      </w:r>
      <w:r>
        <w:rPr>
          <w:rFonts w:eastAsia="Times New Roman"/>
          <w:b/>
          <w:sz w:val="24"/>
          <w:szCs w:val="24"/>
        </w:rPr>
        <w:t xml:space="preserve">3-8 </w:t>
      </w:r>
      <w:r>
        <w:rPr>
          <w:rFonts w:hint="eastAsia" w:ascii="宋体" w:hAnsi="宋体"/>
          <w:b/>
          <w:sz w:val="24"/>
          <w:szCs w:val="24"/>
        </w:rPr>
        <w:t>秒钟扑灭火焰</w:t>
      </w:r>
      <w:r>
        <w:rPr>
          <w:rFonts w:hint="eastAsia" w:ascii="宋体" w:hAnsi="宋体"/>
          <w:sz w:val="24"/>
          <w:szCs w:val="24"/>
        </w:rPr>
        <w:t>）。防护区内发生火灾时，防护区内的所有喷头应同时喷放灭火剂，要能够实现操作台面、排油烟罩、烟道同步灭火。</w:t>
      </w:r>
    </w:p>
    <w:p>
      <w:pPr>
        <w:tabs>
          <w:tab w:val="left" w:pos="840"/>
        </w:tabs>
        <w:overflowPunct w:val="0"/>
        <w:spacing w:line="396" w:lineRule="auto"/>
        <w:ind w:firstLine="480" w:firstLineChars="200"/>
        <w:rPr>
          <w:sz w:val="24"/>
          <w:szCs w:val="24"/>
        </w:rPr>
      </w:pPr>
      <w:r>
        <w:rPr>
          <w:rFonts w:hint="eastAsia" w:ascii="宋体" w:hAnsi="宋体"/>
          <w:sz w:val="24"/>
          <w:szCs w:val="24"/>
          <w:lang w:val="en-US" w:eastAsia="zh-CN"/>
        </w:rPr>
        <w:t>2</w:t>
      </w:r>
      <w:r>
        <w:rPr>
          <w:rFonts w:hint="eastAsia" w:ascii="宋体" w:hAnsi="宋体"/>
          <w:sz w:val="24"/>
          <w:szCs w:val="24"/>
        </w:rPr>
        <w:t xml:space="preserve">.4厨房设备灭火装置启动时应联动机械水流阀，在喷放完灭火剂需继续喷放冷却水，应在喷放灭火剂后 </w:t>
      </w:r>
      <w:r>
        <w:rPr>
          <w:rFonts w:eastAsia="Times New Roman"/>
          <w:sz w:val="24"/>
          <w:szCs w:val="24"/>
        </w:rPr>
        <w:t>5s</w:t>
      </w:r>
      <w:r>
        <w:rPr>
          <w:rFonts w:hint="eastAsia" w:ascii="宋体" w:hAnsi="宋体"/>
          <w:sz w:val="24"/>
          <w:szCs w:val="24"/>
        </w:rPr>
        <w:t xml:space="preserve"> 内自动切换至喷放冷却水状态。在喷放完灭火剂后需继续喷放冷却水时，</w:t>
      </w:r>
      <w:r>
        <w:rPr>
          <w:rFonts w:hint="eastAsia" w:ascii="宋体" w:hAnsi="宋体"/>
          <w:b/>
          <w:sz w:val="24"/>
          <w:szCs w:val="24"/>
        </w:rPr>
        <w:t>冷却水的设计喷水工作压力应符合实际需要</w:t>
      </w:r>
      <w:r>
        <w:rPr>
          <w:rFonts w:hint="eastAsia" w:ascii="宋体" w:hAnsi="宋体"/>
          <w:sz w:val="24"/>
          <w:szCs w:val="24"/>
        </w:rPr>
        <w:t>，冷却水持续喷放时间不应少于</w:t>
      </w:r>
      <w:r>
        <w:rPr>
          <w:rFonts w:eastAsia="Times New Roman"/>
          <w:sz w:val="24"/>
          <w:szCs w:val="24"/>
        </w:rPr>
        <w:t>1min</w:t>
      </w:r>
      <w:r>
        <w:rPr>
          <w:rFonts w:hint="eastAsia" w:ascii="宋体" w:hAnsi="宋体"/>
          <w:sz w:val="24"/>
          <w:szCs w:val="24"/>
        </w:rPr>
        <w:t>。供水阀在无人操作情况下需要能够实现</w:t>
      </w:r>
      <w:r>
        <w:rPr>
          <w:rFonts w:hint="eastAsia" w:ascii="宋体" w:hAnsi="宋体"/>
          <w:b/>
          <w:sz w:val="24"/>
          <w:szCs w:val="24"/>
        </w:rPr>
        <w:t>自动开启和关闭</w:t>
      </w:r>
      <w:r>
        <w:rPr>
          <w:rFonts w:hint="eastAsia" w:ascii="宋体" w:hAnsi="宋体"/>
          <w:sz w:val="24"/>
          <w:szCs w:val="24"/>
        </w:rPr>
        <w:t>。</w:t>
      </w:r>
    </w:p>
    <w:p>
      <w:pPr>
        <w:tabs>
          <w:tab w:val="left" w:pos="840"/>
        </w:tabs>
        <w:overflowPunct w:val="0"/>
        <w:spacing w:line="396" w:lineRule="auto"/>
        <w:ind w:firstLine="480" w:firstLineChars="200"/>
        <w:rPr>
          <w:rFonts w:eastAsia="Times New Roman"/>
          <w:sz w:val="24"/>
          <w:szCs w:val="24"/>
        </w:rPr>
      </w:pPr>
      <w:r>
        <w:rPr>
          <w:rFonts w:hint="eastAsia" w:ascii="宋体" w:hAnsi="宋体"/>
          <w:sz w:val="24"/>
          <w:szCs w:val="24"/>
          <w:lang w:val="en-US" w:eastAsia="zh-CN"/>
        </w:rPr>
        <w:t>2</w:t>
      </w:r>
      <w:r>
        <w:rPr>
          <w:rFonts w:hint="eastAsia" w:ascii="宋体" w:hAnsi="宋体"/>
          <w:sz w:val="24"/>
          <w:szCs w:val="24"/>
        </w:rPr>
        <w:t>.5驱动气体应选用惰性气体，并宜选用氮气驱动气体容器充装，压力不宜小于</w:t>
      </w:r>
      <w:r>
        <w:rPr>
          <w:rFonts w:eastAsia="Times New Roman"/>
          <w:sz w:val="24"/>
          <w:szCs w:val="24"/>
        </w:rPr>
        <w:t>6.0MPa</w:t>
      </w:r>
      <w:r>
        <w:rPr>
          <w:rFonts w:hint="eastAsia" w:ascii="宋体" w:hAnsi="宋体"/>
          <w:sz w:val="24"/>
          <w:szCs w:val="24"/>
        </w:rPr>
        <w:t xml:space="preserve">且不应大于 </w:t>
      </w:r>
      <w:r>
        <w:rPr>
          <w:rFonts w:eastAsia="Times New Roman"/>
          <w:sz w:val="24"/>
          <w:szCs w:val="24"/>
        </w:rPr>
        <w:t>12.0MPa</w:t>
      </w:r>
      <w:r>
        <w:rPr>
          <w:rFonts w:hint="eastAsia" w:ascii="宋体" w:hAnsi="宋体"/>
          <w:sz w:val="24"/>
          <w:szCs w:val="24"/>
        </w:rPr>
        <w:t>。灭火试剂应</w:t>
      </w:r>
      <w:r>
        <w:rPr>
          <w:rFonts w:hint="eastAsia" w:ascii="宋体" w:hAnsi="宋体"/>
          <w:b/>
          <w:sz w:val="24"/>
          <w:szCs w:val="24"/>
        </w:rPr>
        <w:t>无毒、无害、无污染、易清洗、不复燃。</w:t>
      </w:r>
    </w:p>
    <w:p>
      <w:pPr>
        <w:tabs>
          <w:tab w:val="left" w:pos="840"/>
        </w:tabs>
        <w:overflowPunct w:val="0"/>
        <w:spacing w:line="396" w:lineRule="auto"/>
        <w:ind w:firstLine="480" w:firstLineChars="200"/>
        <w:rPr>
          <w:rFonts w:eastAsia="Times New Roman"/>
          <w:sz w:val="24"/>
        </w:rPr>
      </w:pPr>
      <w:r>
        <w:rPr>
          <w:rFonts w:hint="eastAsia" w:ascii="宋体" w:hAnsi="宋体"/>
          <w:sz w:val="24"/>
          <w:lang w:val="en-US" w:eastAsia="zh-CN"/>
        </w:rPr>
        <w:t>2</w:t>
      </w:r>
      <w:r>
        <w:rPr>
          <w:rFonts w:hint="eastAsia" w:ascii="宋体" w:hAnsi="宋体"/>
          <w:sz w:val="24"/>
        </w:rPr>
        <w:t>.6喷头应有防止灰尘或油脂堵塞喷孔的防护装置，防护装置在灭火剂喷放时应能被打开且不能脱落。</w:t>
      </w:r>
    </w:p>
    <w:p>
      <w:pPr>
        <w:tabs>
          <w:tab w:val="left" w:pos="840"/>
        </w:tabs>
        <w:overflowPunct w:val="0"/>
        <w:spacing w:line="396" w:lineRule="auto"/>
        <w:ind w:left="480"/>
        <w:rPr>
          <w:sz w:val="24"/>
          <w:szCs w:val="24"/>
        </w:rPr>
      </w:pPr>
      <w:r>
        <w:rPr>
          <w:rFonts w:hint="eastAsia" w:ascii="宋体" w:hAnsi="宋体"/>
          <w:sz w:val="24"/>
          <w:szCs w:val="24"/>
          <w:lang w:val="en-US" w:eastAsia="zh-CN"/>
        </w:rPr>
        <w:t>2</w:t>
      </w:r>
      <w:r>
        <w:rPr>
          <w:rFonts w:hint="eastAsia" w:ascii="宋体" w:hAnsi="宋体"/>
          <w:sz w:val="24"/>
          <w:szCs w:val="24"/>
        </w:rPr>
        <w:t>.7管道及附件应能承受最高环境温度下的工作压力，并应符合下列规定：</w:t>
      </w:r>
    </w:p>
    <w:p>
      <w:pPr>
        <w:spacing w:line="396" w:lineRule="auto"/>
        <w:jc w:val="left"/>
        <w:rPr>
          <w:sz w:val="24"/>
          <w:szCs w:val="24"/>
        </w:rPr>
      </w:pPr>
      <w:r>
        <w:rPr>
          <w:rFonts w:hint="eastAsia" w:ascii="宋体" w:hAnsi="宋体"/>
          <w:sz w:val="24"/>
          <w:szCs w:val="24"/>
        </w:rPr>
        <w:t>灭火剂输送管道宜采用</w:t>
      </w:r>
      <w:r>
        <w:rPr>
          <w:rFonts w:hint="eastAsia" w:ascii="宋体" w:hAnsi="宋体"/>
          <w:b/>
          <w:sz w:val="24"/>
          <w:szCs w:val="24"/>
        </w:rPr>
        <w:t>不锈钢无缝钢管</w:t>
      </w:r>
      <w:r>
        <w:rPr>
          <w:rFonts w:hint="eastAsia" w:ascii="宋体" w:hAnsi="宋体"/>
          <w:sz w:val="24"/>
          <w:szCs w:val="24"/>
        </w:rPr>
        <w:t>，其质量应符合现行国家标准《输送流体用不锈钢无缝钢管》</w:t>
      </w:r>
      <w:r>
        <w:rPr>
          <w:rFonts w:eastAsia="Times New Roman"/>
          <w:sz w:val="24"/>
          <w:szCs w:val="24"/>
        </w:rPr>
        <w:t>GB/T14976</w:t>
      </w:r>
      <w:r>
        <w:rPr>
          <w:rFonts w:hint="eastAsia" w:ascii="宋体" w:hAnsi="宋体"/>
          <w:sz w:val="24"/>
          <w:szCs w:val="24"/>
        </w:rPr>
        <w:t xml:space="preserve"> 的规定，不得使用碳钢管和复合管。驱动气体</w:t>
      </w:r>
      <w:r>
        <w:rPr>
          <w:rFonts w:hint="eastAsia" w:ascii="宋体" w:hAnsi="宋体"/>
          <w:b/>
          <w:sz w:val="24"/>
          <w:szCs w:val="24"/>
        </w:rPr>
        <w:t>输送管道宜采用</w:t>
      </w:r>
      <w:r>
        <w:rPr>
          <w:rFonts w:eastAsia="Times New Roman"/>
          <w:b/>
          <w:sz w:val="24"/>
          <w:szCs w:val="24"/>
        </w:rPr>
        <w:t>304</w:t>
      </w:r>
      <w:r>
        <w:rPr>
          <w:rFonts w:hint="eastAsia" w:ascii="宋体" w:hAnsi="宋体"/>
          <w:b/>
          <w:sz w:val="24"/>
          <w:szCs w:val="24"/>
        </w:rPr>
        <w:t>不锈钢管</w:t>
      </w:r>
      <w:r>
        <w:rPr>
          <w:rFonts w:hint="eastAsia" w:ascii="宋体" w:hAnsi="宋体"/>
          <w:sz w:val="24"/>
          <w:szCs w:val="24"/>
        </w:rPr>
        <w:t>，管道变径时应使用异径管。管道附件应采用不锈钢或铜合金材料制作，并应通过国家</w:t>
      </w:r>
      <w:r>
        <w:rPr>
          <w:rFonts w:hint="eastAsia" w:ascii="宋体" w:hAnsi="宋体"/>
          <w:b/>
          <w:sz w:val="24"/>
          <w:szCs w:val="24"/>
        </w:rPr>
        <w:t>法定检验机构的检验认可</w:t>
      </w:r>
      <w:r>
        <w:rPr>
          <w:rFonts w:hint="eastAsia" w:ascii="宋体" w:hAnsi="宋体"/>
          <w:sz w:val="24"/>
          <w:szCs w:val="24"/>
        </w:rPr>
        <w:t>。</w:t>
      </w:r>
    </w:p>
    <w:p>
      <w:pPr>
        <w:tabs>
          <w:tab w:val="left" w:pos="840"/>
        </w:tabs>
        <w:overflowPunct w:val="0"/>
        <w:spacing w:line="396" w:lineRule="auto"/>
        <w:ind w:left="480"/>
        <w:rPr>
          <w:rFonts w:hint="eastAsia" w:ascii="宋体" w:hAnsi="宋体"/>
          <w:sz w:val="24"/>
        </w:rPr>
      </w:pPr>
      <w:r>
        <w:rPr>
          <w:rFonts w:hint="eastAsia" w:ascii="宋体" w:hAnsi="宋体"/>
          <w:sz w:val="24"/>
          <w:lang w:val="en-US" w:eastAsia="zh-CN"/>
        </w:rPr>
        <w:t>2</w:t>
      </w:r>
      <w:r>
        <w:rPr>
          <w:rFonts w:hint="eastAsia" w:ascii="宋体" w:hAnsi="宋体"/>
          <w:sz w:val="24"/>
        </w:rPr>
        <w:t>.8厨房设备灭火装置的手动部位和相关阀门处应设置</w:t>
      </w:r>
      <w:r>
        <w:rPr>
          <w:rFonts w:hint="eastAsia" w:ascii="宋体" w:hAnsi="宋体"/>
          <w:b/>
          <w:sz w:val="24"/>
        </w:rPr>
        <w:t>明显的标志</w:t>
      </w:r>
      <w:r>
        <w:rPr>
          <w:rFonts w:hint="eastAsia" w:ascii="宋体" w:hAnsi="宋体"/>
          <w:sz w:val="24"/>
        </w:rPr>
        <w:t>。</w:t>
      </w:r>
    </w:p>
    <w:p>
      <w:pPr>
        <w:tabs>
          <w:tab w:val="left" w:pos="840"/>
        </w:tabs>
        <w:overflowPunct w:val="0"/>
        <w:spacing w:line="396" w:lineRule="auto"/>
        <w:ind w:left="480"/>
        <w:rPr>
          <w:rFonts w:eastAsia="Times New Roman"/>
          <w:sz w:val="24"/>
        </w:rPr>
      </w:pPr>
      <w:r>
        <w:rPr>
          <w:rFonts w:hint="eastAsia" w:ascii="宋体" w:hAnsi="宋体"/>
          <w:sz w:val="24"/>
          <w:lang w:val="en-US" w:eastAsia="zh-CN"/>
        </w:rPr>
        <w:t>2.9</w:t>
      </w:r>
      <w:r>
        <w:rPr>
          <w:rFonts w:hint="eastAsia" w:ascii="宋体" w:hAnsi="宋体"/>
          <w:sz w:val="24"/>
        </w:rPr>
        <w:t>控制盘、报警器及手动装置的设置应</w:t>
      </w:r>
      <w:r>
        <w:rPr>
          <w:rFonts w:hint="eastAsia" w:ascii="宋体" w:hAnsi="宋体"/>
          <w:b/>
          <w:sz w:val="24"/>
        </w:rPr>
        <w:t>便于操作、检查和维护，控制盘应能正确显示装置的工作状态</w:t>
      </w:r>
      <w:r>
        <w:rPr>
          <w:rFonts w:hint="eastAsia" w:ascii="宋体" w:hAnsi="宋体"/>
          <w:sz w:val="24"/>
        </w:rPr>
        <w:t>。</w:t>
      </w:r>
    </w:p>
    <w:p>
      <w:pPr>
        <w:numPr>
          <w:numId w:val="0"/>
        </w:numPr>
        <w:tabs>
          <w:tab w:val="left" w:pos="950"/>
        </w:tabs>
        <w:overflowPunct w:val="0"/>
        <w:spacing w:line="396" w:lineRule="auto"/>
        <w:ind w:left="480" w:leftChars="0" w:right="20" w:rightChars="0"/>
        <w:rPr>
          <w:rFonts w:hint="eastAsia" w:ascii="宋体" w:hAnsi="宋体"/>
          <w:sz w:val="24"/>
        </w:rPr>
      </w:pPr>
      <w:r>
        <w:rPr>
          <w:rFonts w:hint="eastAsia" w:ascii="宋体" w:hAnsi="宋体"/>
          <w:sz w:val="24"/>
          <w:lang w:val="en-US" w:eastAsia="zh-CN"/>
        </w:rPr>
        <w:t>2.10</w:t>
      </w:r>
      <w:r>
        <w:rPr>
          <w:rFonts w:hint="eastAsia" w:ascii="宋体" w:hAnsi="宋体"/>
          <w:sz w:val="24"/>
        </w:rPr>
        <w:t>感应设备宜采用感应释放装置，能够适合厨房多油、超时环境。厨房设备灭火装置应保证在发生火灾时</w:t>
      </w:r>
      <w:r>
        <w:rPr>
          <w:rFonts w:hint="eastAsia" w:ascii="宋体" w:hAnsi="宋体"/>
          <w:b/>
          <w:sz w:val="24"/>
        </w:rPr>
        <w:t>自动、定向灭火</w:t>
      </w:r>
      <w:r>
        <w:rPr>
          <w:rFonts w:hint="eastAsia" w:ascii="宋体" w:hAnsi="宋体"/>
          <w:sz w:val="24"/>
        </w:rPr>
        <w:t>，确保操作人员安全</w:t>
      </w:r>
      <w:r>
        <w:rPr>
          <w:rFonts w:hint="eastAsia" w:ascii="宋体" w:hAnsi="宋体"/>
          <w:sz w:val="24"/>
          <w:lang w:eastAsia="zh-CN"/>
        </w:rPr>
        <w:t>。</w:t>
      </w:r>
    </w:p>
    <w:p>
      <w:pPr>
        <w:numPr>
          <w:numId w:val="0"/>
        </w:numPr>
        <w:tabs>
          <w:tab w:val="left" w:pos="950"/>
        </w:tabs>
        <w:overflowPunct w:val="0"/>
        <w:spacing w:line="396" w:lineRule="auto"/>
        <w:ind w:left="480" w:leftChars="0" w:right="20" w:rightChars="0"/>
        <w:rPr>
          <w:rFonts w:ascii="宋体" w:hAnsi="宋体"/>
          <w:sz w:val="24"/>
          <w:szCs w:val="24"/>
        </w:rPr>
      </w:pPr>
      <w:r>
        <w:rPr>
          <w:rFonts w:hint="eastAsia" w:ascii="宋体" w:hAnsi="宋体"/>
          <w:sz w:val="24"/>
          <w:szCs w:val="24"/>
          <w:lang w:val="en-US" w:eastAsia="zh-CN"/>
        </w:rPr>
        <w:t>2.11</w:t>
      </w:r>
      <w:r>
        <w:rPr>
          <w:rFonts w:hint="eastAsia" w:ascii="宋体" w:hAnsi="宋体"/>
          <w:sz w:val="24"/>
          <w:szCs w:val="24"/>
        </w:rPr>
        <w:t xml:space="preserve">厨房设备灭火装置应能够实现 </w:t>
      </w:r>
      <w:r>
        <w:rPr>
          <w:rFonts w:eastAsia="Times New Roman"/>
          <w:sz w:val="24"/>
          <w:szCs w:val="24"/>
        </w:rPr>
        <w:t>24</w:t>
      </w:r>
      <w:r>
        <w:rPr>
          <w:rFonts w:hint="eastAsia" w:ascii="宋体" w:hAnsi="宋体"/>
          <w:sz w:val="24"/>
          <w:szCs w:val="24"/>
        </w:rPr>
        <w:t xml:space="preserve"> 小时全天候监控，并且发生火情后装置动作时，在使用区域有声光报警提醒，且能够在中心监控系统中显现，实现中心监控报警、区域报警与现场声光报警同步。</w:t>
      </w:r>
    </w:p>
    <w:tbl>
      <w:tblPr>
        <w:tblStyle w:val="6"/>
        <w:tblW w:w="8308" w:type="dxa"/>
        <w:tblInd w:w="0" w:type="dxa"/>
        <w:tblLayout w:type="fixed"/>
        <w:tblCellMar>
          <w:top w:w="15" w:type="dxa"/>
          <w:left w:w="15" w:type="dxa"/>
          <w:bottom w:w="15" w:type="dxa"/>
          <w:right w:w="15" w:type="dxa"/>
        </w:tblCellMar>
      </w:tblPr>
      <w:tblGrid>
        <w:gridCol w:w="2863"/>
        <w:gridCol w:w="2580"/>
        <w:gridCol w:w="2865"/>
      </w:tblGrid>
      <w:tr>
        <w:tblPrEx>
          <w:tblLayout w:type="fixed"/>
          <w:tblCellMar>
            <w:top w:w="15" w:type="dxa"/>
            <w:left w:w="15" w:type="dxa"/>
            <w:bottom w:w="15" w:type="dxa"/>
            <w:right w:w="15" w:type="dxa"/>
          </w:tblCellMar>
        </w:tblPrEx>
        <w:trPr>
          <w:trHeight w:val="70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color w:val="000000"/>
                <w:sz w:val="22"/>
              </w:rPr>
            </w:pPr>
            <w:r>
              <w:rPr>
                <w:rFonts w:hint="eastAsia" w:ascii="宋体" w:hAnsi="宋体" w:cs="宋体"/>
                <w:b/>
                <w:color w:val="000000"/>
                <w:kern w:val="0"/>
                <w:sz w:val="22"/>
              </w:rPr>
              <w:t xml:space="preserve">项目  参数       型号                </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2"/>
              </w:rPr>
            </w:pPr>
            <w:r>
              <w:rPr>
                <w:rFonts w:hint="eastAsia" w:ascii="宋体" w:hAnsi="宋体" w:cs="宋体"/>
                <w:b/>
                <w:color w:val="000000"/>
                <w:kern w:val="0"/>
                <w:sz w:val="22"/>
              </w:rPr>
              <w:t>单瓶组系统</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2"/>
              </w:rPr>
            </w:pPr>
            <w:r>
              <w:rPr>
                <w:rFonts w:hint="eastAsia" w:ascii="宋体" w:hAnsi="宋体" w:cs="宋体"/>
                <w:b/>
                <w:color w:val="000000"/>
                <w:kern w:val="0"/>
                <w:sz w:val="22"/>
              </w:rPr>
              <w:t>双瓶组系统</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灭火剂充装量（L）</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10L</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20L</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驱动瓶公称容积（L）</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2L</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2L</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驱动瓶充装压力（Mpa)</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7MPA</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7MPA</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储存容器最大工作压力（Mpa）</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15MPA</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15MPA</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喷射时间（S）</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12.1S</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12.1S</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喷射延迟时间（S）</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2S</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2S</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Style w:val="7"/>
                <w:rFonts w:hint="default"/>
              </w:rPr>
              <w:t>喷嘴最小喷射速率（kg∕s）</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0.078Kg/S</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0.078Kg/S</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喷嘴最小工作压力（Mpa）</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0.47MPA</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0.47MPA</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喷嘴配置数（个）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20</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Style w:val="7"/>
                <w:rFonts w:hint="default"/>
              </w:rPr>
              <w:t>感温器动作温度（°C）</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181.6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181.6</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最多感温器使用（套）</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10</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喷射冷却水的开启形式</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自动开启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自动开启</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冷却水喷射切换时间（S）</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≤4.9S</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≤4.9S</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要求冷却水进水压力（MPa）</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0.05MPA</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0.05MPA</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Fonts w:hint="eastAsia" w:ascii="宋体" w:hAnsi="宋体" w:cs="宋体"/>
                <w:color w:val="000000"/>
                <w:kern w:val="0"/>
                <w:sz w:val="22"/>
              </w:rPr>
              <w:t>控制盘额定工作电压（V）</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220V</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220V</w:t>
            </w:r>
          </w:p>
        </w:tc>
      </w:tr>
      <w:tr>
        <w:tblPrEx>
          <w:tblLayout w:type="fixed"/>
          <w:tblCellMar>
            <w:top w:w="15" w:type="dxa"/>
            <w:left w:w="15" w:type="dxa"/>
            <w:bottom w:w="15" w:type="dxa"/>
            <w:right w:w="15" w:type="dxa"/>
          </w:tblCellMar>
        </w:tblPrEx>
        <w:trPr>
          <w:trHeight w:val="46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rPr>
            </w:pPr>
            <w:r>
              <w:rPr>
                <w:rStyle w:val="7"/>
                <w:rFonts w:hint="default"/>
              </w:rPr>
              <w:t>装置使用温度（°C）</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零下5度到55度</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kern w:val="0"/>
                <w:sz w:val="22"/>
              </w:rPr>
              <w:t>零下5度到55度</w:t>
            </w:r>
          </w:p>
        </w:tc>
      </w:tr>
    </w:tbl>
    <w:p>
      <w:pPr>
        <w:tabs>
          <w:tab w:val="left" w:pos="960"/>
        </w:tabs>
        <w:overflowPunct w:val="0"/>
        <w:spacing w:line="396" w:lineRule="auto"/>
        <w:ind w:right="20"/>
        <w:rPr>
          <w:rFonts w:ascii="宋体" w:hAnsi="宋体"/>
          <w:sz w:val="24"/>
          <w:szCs w:val="24"/>
        </w:rPr>
      </w:pPr>
    </w:p>
    <w:p>
      <w:pPr>
        <w:tabs>
          <w:tab w:val="left" w:pos="960"/>
        </w:tabs>
        <w:overflowPunct w:val="0"/>
        <w:spacing w:line="396" w:lineRule="auto"/>
        <w:ind w:right="20"/>
        <w:rPr>
          <w:rFonts w:ascii="宋体" w:hAnsi="宋体"/>
          <w:b/>
          <w:bCs/>
          <w:sz w:val="24"/>
          <w:szCs w:val="24"/>
        </w:rPr>
      </w:pPr>
      <w:r>
        <w:rPr>
          <w:rFonts w:hint="eastAsia" w:ascii="宋体" w:hAnsi="宋体"/>
          <w:b/>
          <w:bCs/>
          <w:sz w:val="24"/>
          <w:szCs w:val="24"/>
        </w:rPr>
        <w:t>附表一：</w:t>
      </w:r>
    </w:p>
    <w:p>
      <w:pPr>
        <w:tabs>
          <w:tab w:val="left" w:pos="960"/>
        </w:tabs>
        <w:overflowPunct w:val="0"/>
        <w:spacing w:line="396" w:lineRule="auto"/>
        <w:ind w:right="20"/>
        <w:jc w:val="center"/>
        <w:rPr>
          <w:rFonts w:ascii="宋体" w:hAnsi="宋体"/>
          <w:b/>
          <w:bCs/>
          <w:sz w:val="24"/>
          <w:szCs w:val="24"/>
        </w:rPr>
      </w:pPr>
      <w:r>
        <w:rPr>
          <w:rFonts w:hint="eastAsia" w:ascii="宋体" w:hAnsi="宋体"/>
          <w:b/>
          <w:bCs/>
          <w:sz w:val="24"/>
          <w:szCs w:val="24"/>
        </w:rPr>
        <w:t>单瓶组厨房设备灭火装置主材清单</w:t>
      </w:r>
    </w:p>
    <w:tbl>
      <w:tblPr>
        <w:tblStyle w:val="6"/>
        <w:tblW w:w="8160" w:type="dxa"/>
        <w:tblInd w:w="0" w:type="dxa"/>
        <w:tblLayout w:type="fixed"/>
        <w:tblCellMar>
          <w:top w:w="15" w:type="dxa"/>
          <w:left w:w="15" w:type="dxa"/>
          <w:bottom w:w="15" w:type="dxa"/>
          <w:right w:w="15" w:type="dxa"/>
        </w:tblCellMar>
      </w:tblPr>
      <w:tblGrid>
        <w:gridCol w:w="840"/>
        <w:gridCol w:w="2490"/>
        <w:gridCol w:w="2670"/>
        <w:gridCol w:w="1080"/>
        <w:gridCol w:w="1080"/>
      </w:tblGrid>
      <w:tr>
        <w:tblPrEx>
          <w:tblLayout w:type="fixed"/>
          <w:tblCellMar>
            <w:top w:w="15" w:type="dxa"/>
            <w:left w:w="15" w:type="dxa"/>
            <w:bottom w:w="15" w:type="dxa"/>
            <w:right w:w="15"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规格参数、型号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数量</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主控箱体</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材质：304不锈钢拉丝板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控制系统总成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规格：240*110*280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灭火药剂贮瓶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规格：12L，材质：304不锈钢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药剂瓶容器阀成套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驱动氮气瓶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2L，材质：合金钢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压力表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驱动瓶阀体成套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DC24V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减压器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7MPa/1.2MPa,材质：H59镀铬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橡胶连接管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水流电磁阀成套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单向阀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铜球阀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感温片支架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感温易熔片 </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183°C，材质：铜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末端调节，锁紧装置成套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材质：H59铜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信号传动装置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材质：H59铜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烟道喷嘴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DN15;材质：304不锈钢，含喷嘴芯、滤网、防尘帽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灶台喷嘴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DN15;材质：304不锈钢，含喷嘴芯、滤网、防尘帽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钢丝绳</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厨房食用油专用灭火剂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无色、无味、无毒、无污染、易清洗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氮气</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2L，高纯氮气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钢丝绳套管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DN15，材质：不锈钢，装饰管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tblPrEx>
          <w:tblLayout w:type="fixed"/>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灭火剂输送管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DN15，材质：卡压式薄壁不锈钢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灭火剂输送管件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Style w:val="8"/>
                <w:rFonts w:hint="default"/>
              </w:rPr>
              <w:t>弯头，三通等</w:t>
            </w:r>
            <w:r>
              <w:rPr>
                <w:rStyle w:val="9"/>
                <w:rFonts w:hint="default"/>
              </w:rPr>
              <w:t>，材质：卡压式薄壁不锈钢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8"/>
                <w:rFonts w:hint="default"/>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p>
        </w:tc>
      </w:tr>
    </w:tbl>
    <w:p>
      <w:pPr>
        <w:tabs>
          <w:tab w:val="left" w:pos="960"/>
        </w:tabs>
        <w:overflowPunct w:val="0"/>
        <w:spacing w:line="396" w:lineRule="auto"/>
        <w:ind w:right="20"/>
        <w:rPr>
          <w:rFonts w:ascii="宋体" w:hAnsi="宋体"/>
          <w:b/>
          <w:bCs/>
          <w:sz w:val="24"/>
          <w:szCs w:val="24"/>
        </w:rPr>
      </w:pPr>
    </w:p>
    <w:p>
      <w:pPr>
        <w:tabs>
          <w:tab w:val="left" w:pos="960"/>
        </w:tabs>
        <w:overflowPunct w:val="0"/>
        <w:spacing w:line="396" w:lineRule="auto"/>
        <w:ind w:right="20"/>
        <w:jc w:val="center"/>
        <w:rPr>
          <w:rFonts w:ascii="宋体" w:hAnsi="宋体"/>
          <w:b/>
          <w:bCs/>
          <w:sz w:val="24"/>
          <w:szCs w:val="24"/>
        </w:rPr>
      </w:pPr>
      <w:r>
        <w:rPr>
          <w:rFonts w:hint="eastAsia" w:ascii="宋体" w:hAnsi="宋体"/>
          <w:b/>
          <w:bCs/>
          <w:sz w:val="24"/>
          <w:szCs w:val="24"/>
        </w:rPr>
        <w:t>双瓶组厨房设备灭火装置主材清单</w:t>
      </w:r>
    </w:p>
    <w:tbl>
      <w:tblPr>
        <w:tblStyle w:val="6"/>
        <w:tblW w:w="8715" w:type="dxa"/>
        <w:tblInd w:w="0" w:type="dxa"/>
        <w:tblLayout w:type="fixed"/>
        <w:tblCellMar>
          <w:top w:w="15" w:type="dxa"/>
          <w:left w:w="15" w:type="dxa"/>
          <w:bottom w:w="15" w:type="dxa"/>
          <w:right w:w="15" w:type="dxa"/>
        </w:tblCellMar>
      </w:tblPr>
      <w:tblGrid>
        <w:gridCol w:w="1080"/>
        <w:gridCol w:w="2490"/>
        <w:gridCol w:w="2415"/>
        <w:gridCol w:w="1305"/>
        <w:gridCol w:w="1425"/>
      </w:tblGrid>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规格参数、型号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kern w:val="0"/>
                <w:sz w:val="20"/>
                <w:szCs w:val="20"/>
              </w:rPr>
              <w:t>数量</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主控箱体</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规格：570*225*660，材质：304不锈钢拉丝板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控制系统总成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规格：240*110*280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灭火药剂贮瓶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规格：12L，材质：304不锈钢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药剂瓶容器阀成套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驱动氮气瓶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w:t>
            </w:r>
            <w:r>
              <w:rPr>
                <w:rStyle w:val="10"/>
                <w:rFonts w:hint="default"/>
              </w:rPr>
              <w:t>2L，材质：合金钢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压力表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规格：YH009/YLB</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驱动瓶阀体成套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规格：YH0</w:t>
            </w:r>
            <w:r>
              <w:rPr>
                <w:rStyle w:val="10"/>
                <w:rFonts w:hint="default"/>
              </w:rPr>
              <w:t>10/PTF，DC24V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减压器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w:t>
            </w:r>
            <w:r>
              <w:rPr>
                <w:rStyle w:val="10"/>
                <w:rFonts w:hint="default"/>
              </w:rPr>
              <w:t>7MPa/1.2MPa,材质：H59镀铬</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橡胶连接管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水流电磁阀成套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单向阀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铜球阀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感温片支架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感温易熔片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规格：YH020/GWP，183°C，材质：铜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末端调节，锁紧装置成套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材质：H59铜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信号传动装置</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材质：H59铜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烟道喷嘴</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DN15;材质：304不锈钢，含喷嘴芯、滤网、防尘帽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灶台喷嘴</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DN15;材质：304不锈钢，含喷嘴芯、滤网、防尘帽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钢丝绳</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材质：304不锈钢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厨房食用油专用灭火剂</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无色、无味、无毒、无污染、易清洗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氮气</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2L，高纯氮气</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钢丝绳套管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DN15，材质：不锈钢，装饰管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r>
      <w:tr>
        <w:tblPrEx>
          <w:tblLayout w:type="fixed"/>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灭火剂输送管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DN15，材质：卡压式薄壁不锈钢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灭火剂输送管件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rPr>
              <w:t>弯头，三通等</w:t>
            </w:r>
            <w:r>
              <w:rPr>
                <w:rStyle w:val="10"/>
                <w:rFonts w:hint="default"/>
              </w:rPr>
              <w:t>，材质：卡压式薄壁不锈钢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p>
        </w:tc>
      </w:tr>
    </w:tbl>
    <w:p>
      <w:pPr>
        <w:spacing w:line="396" w:lineRule="auto"/>
        <w:jc w:val="left"/>
        <w:rPr>
          <w:rFonts w:ascii="Arial" w:hAnsi="Arial" w:cs="Arial"/>
        </w:rPr>
      </w:pPr>
    </w:p>
    <w:p>
      <w:pPr>
        <w:spacing w:line="396" w:lineRule="auto"/>
        <w:jc w:val="left"/>
        <w:rPr>
          <w:rFonts w:eastAsiaTheme="minorEastAsia"/>
          <w:b/>
          <w:sz w:val="24"/>
        </w:rPr>
      </w:pPr>
      <w:bookmarkStart w:id="0" w:name="_GoBack"/>
      <w:bookmarkEnd w:id="0"/>
    </w:p>
    <w:p>
      <w:pPr>
        <w:spacing w:before="100" w:beforeAutospacing="1" w:after="240" w:line="270" w:lineRule="atLeast"/>
        <w:jc w:val="left"/>
        <w:rPr>
          <w:rFonts w:eastAsiaTheme="minorEastAsia"/>
          <w:b/>
          <w:sz w:val="24"/>
        </w:rPr>
      </w:pPr>
      <w:r>
        <w:rPr>
          <w:rFonts w:hint="eastAsia" w:eastAsiaTheme="minorEastAsia"/>
          <w:b/>
          <w:sz w:val="24"/>
          <w:lang w:val="en-US" w:eastAsia="zh-CN"/>
        </w:rPr>
        <w:t>3</w:t>
      </w:r>
      <w:r>
        <w:rPr>
          <w:rFonts w:hint="eastAsia" w:eastAsiaTheme="minorEastAsia"/>
          <w:b/>
          <w:sz w:val="24"/>
        </w:rPr>
        <w:t>、</w:t>
      </w:r>
      <w:r>
        <w:rPr>
          <w:rFonts w:hint="eastAsia" w:ascii="宋体" w:hAnsi="宋体" w:cs="宋体"/>
          <w:b/>
          <w:sz w:val="24"/>
        </w:rPr>
        <w:t>提供所投产品二年的免费上门保修，终身维修，保修期内免费更换零配件。</w:t>
      </w:r>
      <w:r>
        <w:rPr>
          <w:rFonts w:eastAsia="Times New Roman"/>
          <w:b/>
          <w:sz w:val="24"/>
        </w:rPr>
        <w:t>7×24</w:t>
      </w:r>
      <w:r>
        <w:rPr>
          <w:rFonts w:hint="eastAsia" w:ascii="宋体" w:hAnsi="宋体" w:cs="宋体"/>
          <w:b/>
          <w:sz w:val="24"/>
        </w:rPr>
        <w:t>小时技术响应，</w:t>
      </w:r>
      <w:r>
        <w:rPr>
          <w:rFonts w:eastAsia="Times New Roman"/>
          <w:b/>
          <w:sz w:val="24"/>
        </w:rPr>
        <w:t>24</w:t>
      </w:r>
      <w:r>
        <w:rPr>
          <w:rFonts w:hint="eastAsia" w:ascii="宋体" w:hAnsi="宋体" w:cs="宋体"/>
          <w:b/>
          <w:sz w:val="24"/>
        </w:rPr>
        <w:t>小时内维修工程师到达维修现场，保修期自验收合格之日起计算。</w:t>
      </w:r>
    </w:p>
    <w:p>
      <w:pPr>
        <w:spacing w:line="270" w:lineRule="atLeast"/>
        <w:jc w:val="left"/>
        <w:rPr>
          <w:rFonts w:eastAsiaTheme="minorEastAsia"/>
          <w:color w:val="666666"/>
          <w:kern w:val="0"/>
          <w:sz w:val="18"/>
          <w:szCs w:val="18"/>
        </w:rPr>
      </w:pPr>
    </w:p>
    <w:p>
      <w:pPr>
        <w:spacing w:line="396" w:lineRule="auto"/>
        <w:jc w:val="left"/>
        <w:rPr>
          <w:rFonts w:eastAsia="Times New Roman"/>
          <w:b/>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E822"/>
    <w:multiLevelType w:val="multilevel"/>
    <w:tmpl w:val="1035E82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74272F"/>
    <w:rsid w:val="000D669C"/>
    <w:rsid w:val="002F3740"/>
    <w:rsid w:val="005E1BE5"/>
    <w:rsid w:val="006B44BE"/>
    <w:rsid w:val="008C54D5"/>
    <w:rsid w:val="00A6726A"/>
    <w:rsid w:val="00A9332F"/>
    <w:rsid w:val="00BC18A8"/>
    <w:rsid w:val="00E1254D"/>
    <w:rsid w:val="00F11B2B"/>
    <w:rsid w:val="00F13C56"/>
    <w:rsid w:val="00F6262E"/>
    <w:rsid w:val="11FE5A37"/>
    <w:rsid w:val="4E742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jc w:val="left"/>
    </w:pPr>
    <w:rPr>
      <w:rFonts w:ascii="宋体" w:hAnsi="宋体" w:cs="宋体"/>
      <w:kern w:val="0"/>
      <w:sz w:val="24"/>
      <w:szCs w:val="24"/>
    </w:rPr>
  </w:style>
  <w:style w:type="character" w:customStyle="1" w:styleId="7">
    <w:name w:val="font11"/>
    <w:basedOn w:val="5"/>
    <w:uiPriority w:val="0"/>
    <w:rPr>
      <w:rFonts w:hint="eastAsia" w:ascii="宋体" w:hAnsi="宋体" w:eastAsia="宋体" w:cs="宋体"/>
      <w:color w:val="000000"/>
      <w:sz w:val="22"/>
      <w:szCs w:val="22"/>
      <w:u w:val="none"/>
    </w:rPr>
  </w:style>
  <w:style w:type="character" w:customStyle="1" w:styleId="8">
    <w:name w:val="font41"/>
    <w:basedOn w:val="5"/>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 w:type="character" w:customStyle="1" w:styleId="11">
    <w:name w:val="页眉 Char"/>
    <w:basedOn w:val="5"/>
    <w:link w:val="3"/>
    <w:uiPriority w:val="0"/>
    <w:rPr>
      <w:kern w:val="2"/>
      <w:sz w:val="18"/>
      <w:szCs w:val="18"/>
    </w:rPr>
  </w:style>
  <w:style w:type="character" w:customStyle="1" w:styleId="12">
    <w:name w:val="页脚 Char"/>
    <w:basedOn w:val="5"/>
    <w:link w:val="2"/>
    <w:uiPriority w:val="0"/>
    <w:rPr>
      <w:kern w:val="2"/>
      <w:sz w:val="18"/>
      <w:szCs w:val="18"/>
    </w:rPr>
  </w:style>
  <w:style w:type="character" w:customStyle="1" w:styleId="13">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500</Words>
  <Characters>2851</Characters>
  <Lines>23</Lines>
  <Paragraphs>6</Paragraphs>
  <TotalTime>0</TotalTime>
  <ScaleCrop>false</ScaleCrop>
  <LinksUpToDate>false</LinksUpToDate>
  <CharactersWithSpaces>3345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2018-03-03T07:25:00Z</dcterms:created>
  <dc:creator>富信成机械</dc:creator>
  <cp:lastModifiedBy>Rareジ 瘋老頭</cp:lastModifiedBy>
  <dcterms:modified xsi:type="dcterms:W3CDTF">2018-03-19T08:45:57Z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