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bdr w:val="none" w:color="auto" w:sz="0" w:space="0"/>
        </w:rPr>
        <w:t>视野计技术参数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rFonts w:hint="default" w:ascii="Arial" w:hAnsi="Arial" w:cs="Arial"/>
          <w:sz w:val="24"/>
          <w:szCs w:val="24"/>
          <w:bdr w:val="none" w:color="auto" w:sz="0" w:space="0"/>
        </w:rPr>
        <w:t>一、光学部分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1.视觉系统： Glodmann半球形视野罩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2.可用视野范围：90°视野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3.刺激光产生：投射式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4.动态范围：0-47db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5.刺激光：白光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6.背景光：4asb\31.4asb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rFonts w:hint="default" w:ascii="Arial" w:hAnsi="Arial" w:cs="Arial"/>
          <w:sz w:val="24"/>
          <w:szCs w:val="24"/>
          <w:bdr w:val="none" w:color="auto" w:sz="0" w:space="0"/>
        </w:rPr>
        <w:t>二、可靠性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1. 固视系统：实时固视监控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2. 眼位：自动眼位跟踪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3. 镜架托：自动式镜架托及距离调节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4. 头位：非接触式头位感应器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5. 测试时间：基础时间上依据患者反应时间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rFonts w:hint="default" w:ascii="Arial" w:hAnsi="Arial" w:cs="Arial"/>
          <w:sz w:val="24"/>
          <w:szCs w:val="24"/>
          <w:bdr w:val="none" w:color="auto" w:sz="0" w:space="0"/>
        </w:rPr>
        <w:t>三、测试方法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1. W/W：标准白白视野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2.动态视野：手动、全自动Glodmann动态视野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rFonts w:hint="default" w:ascii="Arial" w:hAnsi="Arial" w:cs="Arial"/>
          <w:sz w:val="24"/>
          <w:szCs w:val="24"/>
          <w:bdr w:val="none" w:color="auto" w:sz="0" w:space="0"/>
        </w:rPr>
        <w:t>四、检查策略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1.  标准测量：8-12min(4-2-1策略)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2.  动态策略：5-8min(根据缺损深浅自动调整步长2-10db)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3.  LVS：低视力策略，GlodmannⅤ光标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4.  2-LT：3分法筛选策略（正常、相对缺损、绝对缺损）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5.  1-LT：2分法筛选策略（看见、看不见）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6.  快速检查策略：2-3min（趋势引导策略）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rFonts w:hint="default" w:ascii="Arial" w:hAnsi="Arial" w:cs="Arial"/>
          <w:sz w:val="24"/>
          <w:szCs w:val="24"/>
          <w:bdr w:val="none" w:color="auto" w:sz="0" w:space="0"/>
        </w:rPr>
        <w:t>五、程序库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1. M：黄斑检查（5°/12°/30°）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2. G：青光眼专用程序（30°/60°）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3.30-2：中央常规阈值检查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4. 07：一般检查程序（75°）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5. LVC: 低视力中心检查程序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6.LVP：低视力周边检查程序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7. D1：糖尿病专用程序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8. N1：视神经病变专用程序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9. BT – 上眼睑下垂检查程序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 10. ET - 双眼Esterman视野检查方法</w:t>
      </w:r>
    </w:p>
    <w:p>
      <w:pPr>
        <w:jc w:val="left"/>
        <w:rPr>
          <w:rFonts w:hint="eastAsia" w:ascii="仿宋_GB2312" w:eastAsia="仿宋_GB2312"/>
          <w:b/>
          <w:sz w:val="24"/>
        </w:rPr>
      </w:pPr>
      <w:r>
        <w:rPr>
          <w:rFonts w:hint="default" w:ascii="Arial" w:hAnsi="Arial" w:cs="Arial"/>
          <w:sz w:val="24"/>
          <w:szCs w:val="24"/>
          <w:bdr w:val="none" w:color="auto" w:sz="0" w:space="0"/>
        </w:rPr>
        <w:t>六、其他特点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1. 固视监控：实时固视监控，并鼓励瞬目（眨眼）而且不会影响检查结果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2. 瞳孔测量：自动瞳孔直径大小测量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3. 稳定：优先检查程序相关主要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  <w:bdr w:val="none" w:color="auto" w:sz="0" w:space="0"/>
        </w:rPr>
        <w:t>位点，从而保证了结果的稳定性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4.反应时间：可以根据患者的反应时间随时修正光标之间的间隔时间</w:t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br w:type="textWrapping"/>
      </w:r>
      <w:r>
        <w:rPr>
          <w:rFonts w:hint="default" w:ascii="Arial" w:hAnsi="Arial" w:cs="Arial"/>
          <w:sz w:val="24"/>
          <w:szCs w:val="24"/>
          <w:bdr w:val="none" w:color="auto" w:sz="0" w:space="0"/>
        </w:rPr>
        <w:t> </w:t>
      </w:r>
      <w:r>
        <w:rPr>
          <w:rFonts w:hint="eastAsia" w:ascii="Arial" w:hAnsi="Arial" w:cs="Arial"/>
          <w:sz w:val="24"/>
          <w:szCs w:val="24"/>
          <w:bdr w:val="none" w:color="auto" w:sz="0" w:space="0"/>
          <w:lang w:eastAsia="zh-CN"/>
        </w:rPr>
        <w:t>七</w:t>
      </w:r>
      <w:r>
        <w:rPr>
          <w:rFonts w:hint="eastAsia" w:ascii="仿宋_GB2312" w:eastAsia="仿宋_GB2312"/>
          <w:b/>
          <w:sz w:val="24"/>
        </w:rPr>
        <w:t>、售后服务：</w:t>
      </w: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备件、资料及其他</w:t>
      </w: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1.备件</w:t>
      </w: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卖方应在国内设有维修备件库,保证供应等。</w:t>
      </w: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2.资料</w:t>
      </w: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2.1提供操作手册,维护手册等。</w:t>
      </w: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2.2卖方须向买方提供设备的运行,安装,使用环境要求等。</w:t>
      </w: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3.服务</w:t>
      </w: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3.2保修期≥2年，卖方须保证提供8年以上的优质服务。</w:t>
      </w: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3.3卖方为买方提供现场操作培训,保证操作人员正常使用设备各种功能。</w:t>
      </w: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3.4卖方提供工程师2人次/1周技术维修培训。</w:t>
      </w: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3.5开机率≥98%,维修人员自接到用户报2小时内响应，24小时内解决故障。</w:t>
      </w: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3.6、自验收合格正常使用日期，供方提供免费保修期为12个月。</w:t>
      </w: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3.7、供方承诺保修期外的维修仅收取零件费，不收取维修、差旅费等其他费用。并提供主要零配件和耗品的价目清单。</w:t>
      </w: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3.8、供方免费提供设备操作手册和维护保养手册。</w:t>
      </w: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3.9、供方免费提供设备的操作培训。</w:t>
      </w: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3.10、供方免费提供安装、调试设备的耗品。</w:t>
      </w: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3.11、供方需提供维修能力证明材料。</w:t>
      </w: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4、其他要求</w:t>
      </w: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4.2、交货时提供海关报关单及商检证书。</w:t>
      </w: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4.3、提供所投型号产品的真实用户。</w:t>
      </w: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5、交货期：一个月</w:t>
      </w: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6、中标后5天内签订合同</w:t>
      </w:r>
    </w:p>
    <w:p>
      <w:pPr>
        <w:jc w:val="left"/>
        <w:rPr>
          <w:rFonts w:hint="default" w:ascii="Arial" w:hAnsi="Arial" w:cs="Arial"/>
          <w:sz w:val="24"/>
          <w:szCs w:val="24"/>
        </w:rPr>
      </w:pPr>
    </w:p>
    <w:p>
      <w:pPr>
        <w:jc w:val="left"/>
        <w:rPr>
          <w:rFonts w:hint="default" w:ascii="Arial" w:hAnsi="Arial" w:cs="Arial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KGTFQ G+ GE Inspir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347C9C"/>
    <w:rsid w:val="07A00C67"/>
    <w:rsid w:val="07D552D5"/>
    <w:rsid w:val="2BE352A8"/>
    <w:rsid w:val="2FC06A95"/>
    <w:rsid w:val="6FCB4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Rareジ 瘋老頭</cp:lastModifiedBy>
  <dcterms:modified xsi:type="dcterms:W3CDTF">2018-02-05T09:27:31Z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