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hint="eastAsia" w:ascii="宋体" w:hAnsi="宋体"/>
          <w:b/>
          <w:sz w:val="28"/>
          <w:szCs w:val="28"/>
        </w:rPr>
        <w:t>视野计技术参数要求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eastAsia="zh-CN"/>
        </w:rPr>
        <w:t>一、</w:t>
      </w:r>
      <w:r>
        <w:rPr>
          <w:rFonts w:ascii="Arial" w:hAnsi="Arial" w:cs="Arial"/>
          <w:sz w:val="21"/>
          <w:szCs w:val="21"/>
        </w:rPr>
        <w:t>视野计技术参数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一</w:t>
      </w:r>
      <w:r>
        <w:rPr>
          <w:rFonts w:hint="eastAsia" w:ascii="Arial" w:hAnsi="Arial" w:cs="Arial"/>
          <w:sz w:val="21"/>
          <w:szCs w:val="21"/>
          <w:lang w:eastAsia="zh-CN"/>
        </w:rPr>
        <w:t>）</w:t>
      </w:r>
      <w:r>
        <w:rPr>
          <w:rFonts w:hint="default" w:ascii="Arial" w:hAnsi="Arial" w:cs="Arial"/>
          <w:sz w:val="21"/>
          <w:szCs w:val="21"/>
        </w:rPr>
        <w:t>、光学部分</w:t>
      </w:r>
      <w:bookmarkStart w:id="0" w:name="_GoBack"/>
      <w:bookmarkEnd w:id="0"/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1.视觉系统： Glodmann半球形视野罩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2.可用视野范围：90°视野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3.刺激光产生：投射式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4.动态范围：0-47db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5.刺激光：白光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6.背景光：4asb\31.4asb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二</w:t>
      </w:r>
      <w:r>
        <w:rPr>
          <w:rFonts w:hint="eastAsia" w:ascii="Arial" w:hAnsi="Arial" w:cs="Arial"/>
          <w:sz w:val="21"/>
          <w:szCs w:val="21"/>
          <w:lang w:eastAsia="zh-CN"/>
        </w:rPr>
        <w:t>）</w:t>
      </w:r>
      <w:r>
        <w:rPr>
          <w:rFonts w:hint="default" w:ascii="Arial" w:hAnsi="Arial" w:cs="Arial"/>
          <w:sz w:val="21"/>
          <w:szCs w:val="21"/>
        </w:rPr>
        <w:t>、可靠性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1. 固视系统：实时固视监控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2. 眼位：自动眼位跟踪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3. 镜架托：自动式镜架托及距离调节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4. 头位：非接触式头位感应器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5. 测试时间：基础时间上依据患者反应时间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三</w:t>
      </w:r>
      <w:r>
        <w:rPr>
          <w:rFonts w:hint="eastAsia" w:ascii="Arial" w:hAnsi="Arial" w:cs="Arial"/>
          <w:sz w:val="21"/>
          <w:szCs w:val="21"/>
          <w:lang w:eastAsia="zh-CN"/>
        </w:rPr>
        <w:t>）</w:t>
      </w:r>
      <w:r>
        <w:rPr>
          <w:rFonts w:hint="default" w:ascii="Arial" w:hAnsi="Arial" w:cs="Arial"/>
          <w:sz w:val="21"/>
          <w:szCs w:val="21"/>
        </w:rPr>
        <w:t>、测试方法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1. W/W：标准白白视野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2.动态视野：手动、全自动Glodmann动态视野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四</w:t>
      </w:r>
      <w:r>
        <w:rPr>
          <w:rFonts w:hint="eastAsia" w:ascii="Arial" w:hAnsi="Arial" w:cs="Arial"/>
          <w:sz w:val="21"/>
          <w:szCs w:val="21"/>
          <w:lang w:eastAsia="zh-CN"/>
        </w:rPr>
        <w:t>）</w:t>
      </w:r>
      <w:r>
        <w:rPr>
          <w:rFonts w:hint="default" w:ascii="Arial" w:hAnsi="Arial" w:cs="Arial"/>
          <w:sz w:val="21"/>
          <w:szCs w:val="21"/>
        </w:rPr>
        <w:t>、检查策略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1.  标准测量：8-12min(4-2-1策略)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2.  动态策略：5-8min(根据缺损深浅自动调整步长2-10db)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3.  LVS：低视力策略，GlodmannⅤ光标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4.  2-LT：3分法筛选策略（正常、相对缺损、绝对缺损）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5.  1-LT：2分法筛选策略（看见、看不见）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6.  快速检查策略：2-3min（趋势引导策略）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五</w:t>
      </w:r>
      <w:r>
        <w:rPr>
          <w:rFonts w:hint="eastAsia" w:ascii="Arial" w:hAnsi="Arial" w:cs="Arial"/>
          <w:sz w:val="21"/>
          <w:szCs w:val="21"/>
          <w:lang w:eastAsia="zh-CN"/>
        </w:rPr>
        <w:t>）</w:t>
      </w:r>
      <w:r>
        <w:rPr>
          <w:rFonts w:hint="default" w:ascii="Arial" w:hAnsi="Arial" w:cs="Arial"/>
          <w:sz w:val="21"/>
          <w:szCs w:val="21"/>
        </w:rPr>
        <w:t>、程序库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1. M：黄斑检查（5°/12°/30°）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2. G：青光眼专用程序（30°/60°）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3.30-2：中央常规阈值检查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4. 07：一般检查程序（75°）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5. LVC: 低视力中心检查程序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6.LVP：低视力周边检查程序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7. D1：糖尿病专用程序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8. N1：视神经病变专用程序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9. BT – 上眼睑下垂检查程序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10. ET - 双眼Esterman视野检查方法</w:t>
      </w:r>
    </w:p>
    <w:p>
      <w:pPr>
        <w:spacing w:line="360" w:lineRule="auto"/>
        <w:outlineLvl w:val="0"/>
        <w:rPr>
          <w:rFonts w:hint="eastAsia" w:ascii="宋体" w:hAnsi="宋体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六</w:t>
      </w:r>
      <w:r>
        <w:rPr>
          <w:rFonts w:hint="eastAsia" w:ascii="Arial" w:hAnsi="Arial" w:cs="Arial"/>
          <w:sz w:val="21"/>
          <w:szCs w:val="21"/>
          <w:lang w:eastAsia="zh-CN"/>
        </w:rPr>
        <w:t>）</w:t>
      </w:r>
      <w:r>
        <w:rPr>
          <w:rFonts w:hint="default" w:ascii="Arial" w:hAnsi="Arial" w:cs="Arial"/>
          <w:sz w:val="21"/>
          <w:szCs w:val="21"/>
        </w:rPr>
        <w:t>、其他特点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1. 固视监控：实时固视监控，并鼓励瞬目（眨眼）而且不会影响检查结果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2. 瞳孔测量：自动瞳孔直径大小测量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3. 稳定：优先检查程序相关主要位点，从而保证了结果的稳定性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 4.反应时间：可以根据患者的反应时间随时修正光标之间的间隔时间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二</w:t>
      </w:r>
      <w:r>
        <w:rPr>
          <w:rFonts w:hint="eastAsia" w:ascii="宋体" w:hAnsi="宋体" w:eastAsia="宋体" w:cs="宋体"/>
          <w:sz w:val="21"/>
          <w:szCs w:val="21"/>
        </w:rPr>
        <w:t>、售后服务：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备件、资料及其他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卖方应在国内设有维修备件库,保证供应等。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2.1提供操作手册,维护手册等。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2.2卖方须向买方提供设备的运行,安装,使用环境要求等。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3.1在货物到达用单位后,卖方应在7天内派专业工程师到达现场,提供安装、调试等服务,协助医院组织验收，并承担相关费用。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3.2保修期≥2年，卖方须保证提供8年以上的优质服务。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3.3卖方为买方提供现场操作培训,保证操作人员正常使用设备各种功能。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3.4卖方提供工程师2人次/1周技术维修培训。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3.5开机率≥98%,维修人员自接到用户报2小时内响应，24小时内解决故障。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供方承诺保修期外的维修仅收取零件费，不收取维修、差旅费等其他费用。并提供主要零配件和耗品的价目清单。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供方需提供维修能力证明材料。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C087E"/>
    <w:rsid w:val="07A00C67"/>
    <w:rsid w:val="2FC06A95"/>
    <w:rsid w:val="3D00263D"/>
    <w:rsid w:val="5CEC387D"/>
    <w:rsid w:val="644F48B8"/>
    <w:rsid w:val="6FCB4BCF"/>
    <w:rsid w:val="750C0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2017-12-25T00:50:00Z</dcterms:created>
  <dc:creator>Rareジ 瘋老頭</dc:creator>
  <cp:lastModifiedBy>Rareジ 瘋老頭</cp:lastModifiedBy>
  <dcterms:modified xsi:type="dcterms:W3CDTF">2017-12-25T03:16:09Z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