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00" w:beforeAutospacing="1" w:after="100" w:afterAutospacing="1" w:line="345" w:lineRule="atLeast"/>
        <w:jc w:val="left"/>
        <w:rPr>
          <w:rFonts w:ascii="宋体" w:hAnsi="宋体" w:cs="Helvetica"/>
          <w:color w:val="000000"/>
        </w:rPr>
      </w:pPr>
      <w:r>
        <w:rPr>
          <w:rFonts w:hint="eastAsia" w:ascii="Helvetica" w:hAnsi="Helvetica" w:eastAsia="仿宋_GB2312" w:cs="Helvetica"/>
          <w:color w:val="000000"/>
        </w:rPr>
        <w:t> </w:t>
      </w:r>
    </w:p>
    <w:p>
      <w:pPr>
        <w:spacing w:line="480" w:lineRule="exact"/>
        <w:jc w:val="center"/>
        <w:rPr>
          <w:rFonts w:ascii="仿宋_GB2312" w:hAnsi="宋体" w:eastAsia="仿宋_GB2312" w:cs="宋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bCs/>
          <w:color w:val="000000"/>
          <w:sz w:val="36"/>
          <w:szCs w:val="36"/>
        </w:rPr>
        <w:t>连云港市第一人民医院</w:t>
      </w:r>
    </w:p>
    <w:p>
      <w:pPr>
        <w:jc w:val="center"/>
        <w:rPr>
          <w:rFonts w:ascii="宋体" w:hAnsi="宋体" w:cs="宋体"/>
          <w:sz w:val="20"/>
          <w:szCs w:val="20"/>
        </w:rPr>
      </w:pPr>
      <w:r>
        <w:rPr>
          <w:rFonts w:hint="eastAsia"/>
          <w:sz w:val="28"/>
          <w:szCs w:val="36"/>
        </w:rPr>
        <w:t>ERCP移动C臂X光机</w:t>
      </w:r>
      <w:r>
        <w:rPr>
          <w:rFonts w:hint="eastAsia" w:ascii="宋体" w:hAnsi="宋体"/>
          <w:sz w:val="28"/>
          <w:szCs w:val="32"/>
        </w:rPr>
        <w:t>技术参数</w:t>
      </w:r>
    </w:p>
    <w:p>
      <w:pPr>
        <w:spacing w:line="48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p>
      <w:pPr>
        <w:spacing w:line="360" w:lineRule="auto"/>
        <w:rPr>
          <w:rFonts w:ascii="仿宋_GB2312" w:hAnsi="宋体" w:eastAsia="仿宋_GB2312" w:cs="宋体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  <w:szCs w:val="24"/>
        </w:rPr>
        <w:t>一、项目概述</w:t>
      </w:r>
    </w:p>
    <w:p>
      <w:pPr>
        <w:ind w:firstLine="480" w:firstLineChars="200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本次</w:t>
      </w:r>
      <w:r>
        <w:rPr>
          <w:rFonts w:hint="eastAsia" w:ascii="仿宋_GB2312" w:hAnsi="宋体" w:eastAsia="仿宋_GB2312" w:cs="宋体"/>
          <w:color w:val="000000"/>
          <w:sz w:val="24"/>
          <w:szCs w:val="24"/>
          <w:lang w:eastAsia="zh-CN"/>
        </w:rPr>
        <w:t>商谈</w:t>
      </w:r>
      <w:r>
        <w:rPr>
          <w:rFonts w:hint="eastAsia" w:ascii="仿宋_GB2312" w:hAnsi="宋体" w:eastAsia="仿宋_GB2312" w:cs="宋体"/>
          <w:color w:val="000000"/>
          <w:sz w:val="24"/>
          <w:szCs w:val="24"/>
        </w:rPr>
        <w:t>的内容为连云港市第一人民医院ERCP移动C臂X光机采购。卖方要把内镜清洗设备运抵买方项目现场，完成安装，检测、验收合格，交付买方使用，即交钥匙工程。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宋体" w:eastAsia="仿宋_GB2312" w:cs="宋体"/>
          <w:b/>
          <w:color w:val="00000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</w:rPr>
        <w:t>二、主要技术参数</w:t>
      </w:r>
    </w:p>
    <w:p>
      <w:pPr>
        <w:spacing w:line="360" w:lineRule="auto"/>
        <w:rPr>
          <w:rFonts w:ascii="仿宋_GB2312" w:hAnsi="宋体" w:eastAsia="仿宋_GB2312" w:cs="宋体"/>
          <w:color w:val="000000"/>
          <w:sz w:val="22"/>
        </w:rPr>
      </w:pPr>
      <w:r>
        <w:rPr>
          <w:rFonts w:hint="eastAsia" w:ascii="仿宋_GB2312" w:hAnsi="宋体" w:eastAsia="仿宋_GB2312" w:cs="宋体"/>
          <w:color w:val="000000"/>
          <w:sz w:val="22"/>
        </w:rPr>
        <w:t>设备名称:</w:t>
      </w:r>
      <w:r>
        <w:rPr>
          <w:rFonts w:ascii="仿宋_GB2312" w:hAnsi="宋体" w:eastAsia="仿宋_GB2312" w:cs="宋体"/>
          <w:color w:val="000000"/>
          <w:sz w:val="2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2"/>
        </w:rPr>
        <w:t>ERCP移动C臂X光机  本次采购数量：1台</w:t>
      </w:r>
    </w:p>
    <w:p>
      <w:pPr>
        <w:spacing w:line="460" w:lineRule="exact"/>
        <w:jc w:val="left"/>
        <w:rPr>
          <w:rFonts w:hint="eastAsia" w:ascii="仿宋_GB2312" w:hAnsi="宋体" w:eastAsia="仿宋_GB2312" w:cs="宋体"/>
          <w:color w:val="000000"/>
          <w:sz w:val="22"/>
          <w:szCs w:val="24"/>
        </w:rPr>
      </w:pPr>
      <w:r>
        <w:rPr>
          <w:rFonts w:hint="eastAsia" w:ascii="仿宋_GB2312" w:hAnsi="宋体" w:eastAsia="仿宋_GB2312" w:cs="宋体"/>
          <w:color w:val="000000"/>
          <w:sz w:val="22"/>
          <w:szCs w:val="24"/>
        </w:rPr>
        <w:t>配置及技术规格：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2"/>
          <w:szCs w:val="24"/>
        </w:rPr>
      </w:pPr>
      <w:r>
        <w:rPr>
          <w:rFonts w:hint="eastAsia" w:ascii="宋体" w:hAnsi="宋体"/>
        </w:rPr>
        <w:t xml:space="preserve">    必须原装进口；具有低剂量透视、高分辨率透视、脉冲透视功能，能够满足消化科ERCP介入检查治疗的要求。</w:t>
      </w:r>
    </w:p>
    <w:p>
      <w:pPr>
        <w:spacing w:line="460" w:lineRule="exact"/>
        <w:jc w:val="left"/>
        <w:rPr>
          <w:rFonts w:hint="eastAsia" w:asciiTheme="minorEastAsia" w:hAnsiTheme="minorEastAsia"/>
          <w:b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b/>
          <w:color w:val="000000" w:themeColor="text1"/>
          <w:shd w:val="clear" w:color="auto" w:fill="FFFFFF"/>
        </w:rPr>
        <w:t>1.机架系统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C臂纵向开口净空间≥77cm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弧深净空间≥60cm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水平移动≥20cm。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上下移动≥49cm。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左右前斜角度≥90º/25º（115º）。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左右摆角≥20º。</w:t>
      </w:r>
    </w:p>
    <w:p>
      <w:pPr>
        <w:spacing w:line="460" w:lineRule="exact"/>
        <w:jc w:val="left"/>
        <w:rPr>
          <w:rFonts w:hint="eastAsia" w:asciiTheme="minorEastAsia" w:hAnsiTheme="minorEastAsia"/>
          <w:b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b/>
          <w:color w:val="000000" w:themeColor="text1"/>
          <w:shd w:val="clear" w:color="auto" w:fill="FFFFFF"/>
        </w:rPr>
        <w:t>2.X发生器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球管和高压变压器为组合一体式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逆变频率≥80kHz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标称电功率≥12.5kw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连续透视最大管电流≥20mA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透视管电压 ≥120kV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摄影管电压 ≥110kV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最大管电流≥60mA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具有脉冲透视模式, 脉冲速率≥12脉冲/秒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具有数字点片功能，点片曝光毫安≥75mA</w:t>
      </w:r>
    </w:p>
    <w:p>
      <w:pPr>
        <w:spacing w:line="460" w:lineRule="exact"/>
        <w:jc w:val="left"/>
        <w:rPr>
          <w:rFonts w:hint="eastAsia" w:asciiTheme="minorEastAsia" w:hAnsiTheme="minorEastAsia"/>
          <w:b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b/>
          <w:color w:val="000000" w:themeColor="text1"/>
          <w:shd w:val="clear" w:color="auto" w:fill="FFFFFF"/>
        </w:rPr>
        <w:t>3.X线球管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旋转阳极球管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小焦点≤0.3mm；大焦点≤0.6mm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阳极热容量＞300KHU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阳极散热速度≥70KHU/min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球套热容量≥1900KHU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能保证连续工作不过热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具有虹膜和直叶式全铅板结构缩光器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直叶式缩光器能做非对称调整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虹膜和直叶式缩光器具有一键自动设定照射野功能</w:t>
      </w:r>
    </w:p>
    <w:p>
      <w:pPr>
        <w:spacing w:line="460" w:lineRule="exact"/>
        <w:jc w:val="left"/>
        <w:rPr>
          <w:rFonts w:hint="eastAsia" w:asciiTheme="minorEastAsia" w:hAnsiTheme="minorEastAsia"/>
          <w:b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b/>
          <w:color w:val="000000" w:themeColor="text1"/>
          <w:shd w:val="clear" w:color="auto" w:fill="FFFFFF"/>
        </w:rPr>
        <w:t>4.影像增强器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影像增强器 ≥12英寸。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三视野可选（12"／9"／7"）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影像增强器最大中心空间分辨力≥5.6Lp/mm</w:t>
      </w:r>
    </w:p>
    <w:p>
      <w:pPr>
        <w:spacing w:line="460" w:lineRule="exact"/>
        <w:jc w:val="left"/>
        <w:rPr>
          <w:rFonts w:hint="eastAsia" w:asciiTheme="minorEastAsia" w:hAnsiTheme="minorEastAsia"/>
          <w:b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b/>
          <w:color w:val="000000" w:themeColor="text1"/>
          <w:shd w:val="clear" w:color="auto" w:fill="FFFFFF"/>
        </w:rPr>
        <w:t>5.CCD摄像机和显示器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CCD高分辨率图像采集 ≥1024×1024×12bit。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 xml:space="preserve">两台≥19英寸液晶彩色显示器,副显示器可以实时显示内镜图像。   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显示矩阵：1280×1024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两台显示器可以相向折叠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 xml:space="preserve">显示器可做180度旋转以获得合理的工作流程 </w:t>
      </w:r>
    </w:p>
    <w:p>
      <w:pPr>
        <w:spacing w:line="460" w:lineRule="exact"/>
        <w:jc w:val="left"/>
        <w:rPr>
          <w:rFonts w:hint="eastAsia" w:asciiTheme="minorEastAsia" w:hAnsiTheme="minorEastAsia"/>
          <w:b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b/>
          <w:color w:val="000000" w:themeColor="text1"/>
          <w:shd w:val="clear" w:color="auto" w:fill="FFFFFF"/>
        </w:rPr>
        <w:t>6.数字图像处理系统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实时透视速度 ≥ 25帧/秒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具备数字图像采集功能，采集速度 ≥ 5帧/秒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采集矩阵 ≥ 1024×1024×12bit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存储容量 ≥2000幅（非压缩）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具有实时图像存储、显示、电影回放、测量、放大、电子光栅、图像边缘增强、对比度调整等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主机具备USB接口，能直接抓屏存储图像，并能在个人电脑上播放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主机具有DICOM存储和DICOM打印功能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胃镜视频输入接口</w:t>
      </w:r>
    </w:p>
    <w:p>
      <w:pPr>
        <w:spacing w:line="460" w:lineRule="exact"/>
        <w:jc w:val="left"/>
        <w:rPr>
          <w:rFonts w:hint="eastAsia" w:asciiTheme="minorEastAsia" w:hAnsiTheme="minorEastAsia"/>
          <w:color w:val="000000" w:themeColor="text1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hd w:val="clear" w:color="auto" w:fill="FFFFFF"/>
        </w:rPr>
        <w:t>遥控曝光开关</w:t>
      </w:r>
    </w:p>
    <w:p>
      <w:pPr>
        <w:spacing w:line="460" w:lineRule="exact"/>
        <w:jc w:val="left"/>
        <w:rPr>
          <w:rFonts w:ascii="仿宋_GB2312" w:hAnsi="宋体" w:eastAsia="仿宋_GB2312" w:cs="宋体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/>
          <w:color w:val="000000"/>
          <w:sz w:val="24"/>
          <w:szCs w:val="24"/>
        </w:rPr>
        <w:t>三、售后服务：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备件、资料及其他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1.备件</w:t>
      </w:r>
    </w:p>
    <w:p>
      <w:pPr>
        <w:spacing w:line="460" w:lineRule="exact"/>
        <w:ind w:firstLine="480" w:firstLineChars="200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卖方应在国内设有售后服务点,保证售后服务及配件供应.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2.资料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2.1提供操作手册,维护手册等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2.2卖方须向买方提供设备的运行,安装,使用环境要求等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3.服务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3.2保修期为二年，卖方须保证提供8年以上的优质服务。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sz w:val="24"/>
          <w:szCs w:val="24"/>
        </w:rPr>
        <w:t>3.3卖方须为买方提供现场操作培训,保证操作人员正常使用设备的各种功能</w:t>
      </w:r>
    </w:p>
    <w:p>
      <w:pPr>
        <w:spacing w:line="460" w:lineRule="exact"/>
        <w:jc w:val="left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ascii="仿宋_GB2312" w:hAnsi="宋体" w:eastAsia="仿宋_GB2312" w:cs="宋体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sz w:val="24"/>
          <w:szCs w:val="24"/>
        </w:rPr>
        <w:t>强调：售后服务承诺必须由生产厂家或总代理提供，原件放入正本,否则为废标。</w:t>
      </w:r>
      <w:r>
        <w:rPr>
          <w:rFonts w:hint="eastAsia" w:ascii="仿宋_GB2312" w:hAnsi="宋体" w:eastAsia="仿宋_GB2312" w:cs="宋体"/>
          <w:b/>
          <w:color w:val="000000"/>
          <w:sz w:val="24"/>
          <w:szCs w:val="24"/>
          <w:lang w:eastAsia="zh-CN"/>
        </w:rPr>
        <w:t>参与单位</w:t>
      </w:r>
      <w:r>
        <w:rPr>
          <w:rFonts w:hint="eastAsia" w:ascii="仿宋_GB2312" w:hAnsi="宋体" w:eastAsia="仿宋_GB2312" w:cs="宋体"/>
          <w:b/>
          <w:color w:val="000000"/>
          <w:sz w:val="24"/>
          <w:szCs w:val="24"/>
        </w:rPr>
        <w:t xml:space="preserve">自己承诺仅供参考！   </w:t>
      </w:r>
    </w:p>
    <w:p>
      <w:pPr>
        <w:spacing w:line="460" w:lineRule="exact"/>
        <w:jc w:val="center"/>
        <w:rPr>
          <w:rFonts w:ascii="仿宋_GB2312" w:hAnsi="宋体" w:eastAsia="仿宋_GB2312" w:cs="宋体"/>
          <w:b/>
          <w:color w:val="000000"/>
          <w:sz w:val="36"/>
          <w:szCs w:val="36"/>
        </w:rPr>
      </w:pPr>
      <w:bookmarkStart w:id="0" w:name="_GoBack"/>
      <w:bookmarkEnd w:id="0"/>
    </w:p>
    <w:p>
      <w:pPr>
        <w:spacing w:line="460" w:lineRule="exact"/>
        <w:rPr>
          <w:rFonts w:ascii="仿宋_GB2312" w:hAnsi="宋体" w:eastAsia="仿宋_GB2312" w:cs="宋体"/>
          <w:color w:val="FF0000"/>
          <w:sz w:val="28"/>
          <w:szCs w:val="28"/>
        </w:rPr>
      </w:pPr>
    </w:p>
    <w:p>
      <w:pPr>
        <w:spacing w:line="460" w:lineRule="exact"/>
        <w:jc w:val="right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FF0000"/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连云港市第一人民医院 </w:t>
      </w:r>
    </w:p>
    <w:p>
      <w:pPr>
        <w:spacing w:line="460" w:lineRule="exact"/>
        <w:ind w:firstLine="840" w:firstLineChars="300"/>
        <w:jc w:val="right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临床医学工程部</w:t>
      </w:r>
    </w:p>
    <w:p>
      <w:pPr>
        <w:spacing w:line="460" w:lineRule="exact"/>
        <w:rPr>
          <w:rFonts w:ascii="仿宋_GB2312" w:hAnsi="宋体" w:eastAsia="仿宋_GB2312" w:cs="宋体"/>
          <w:color w:val="FF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                                               2017-5-11                   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Swiss 72 1 B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1" o:spid="_x0000_s2049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908"/>
    <w:rsid w:val="000546A5"/>
    <w:rsid w:val="00084D4D"/>
    <w:rsid w:val="00094755"/>
    <w:rsid w:val="000B2D26"/>
    <w:rsid w:val="000D0FBB"/>
    <w:rsid w:val="000F4A52"/>
    <w:rsid w:val="001212D4"/>
    <w:rsid w:val="00131346"/>
    <w:rsid w:val="00134B75"/>
    <w:rsid w:val="001374FD"/>
    <w:rsid w:val="0014314B"/>
    <w:rsid w:val="001518FD"/>
    <w:rsid w:val="00156E15"/>
    <w:rsid w:val="00172A27"/>
    <w:rsid w:val="00177066"/>
    <w:rsid w:val="001A67AA"/>
    <w:rsid w:val="001B013B"/>
    <w:rsid w:val="001B7E71"/>
    <w:rsid w:val="001E251B"/>
    <w:rsid w:val="001E4365"/>
    <w:rsid w:val="00216B1D"/>
    <w:rsid w:val="00263625"/>
    <w:rsid w:val="00291BFD"/>
    <w:rsid w:val="002B33B4"/>
    <w:rsid w:val="002B574B"/>
    <w:rsid w:val="00305616"/>
    <w:rsid w:val="00310822"/>
    <w:rsid w:val="00326624"/>
    <w:rsid w:val="003317A7"/>
    <w:rsid w:val="00336B1F"/>
    <w:rsid w:val="00343454"/>
    <w:rsid w:val="00344742"/>
    <w:rsid w:val="00391F99"/>
    <w:rsid w:val="003A660F"/>
    <w:rsid w:val="003C1537"/>
    <w:rsid w:val="003E2893"/>
    <w:rsid w:val="003F2631"/>
    <w:rsid w:val="0040066E"/>
    <w:rsid w:val="00443483"/>
    <w:rsid w:val="0044458D"/>
    <w:rsid w:val="00450E4F"/>
    <w:rsid w:val="00464008"/>
    <w:rsid w:val="004C7879"/>
    <w:rsid w:val="004E01F5"/>
    <w:rsid w:val="00517B31"/>
    <w:rsid w:val="00526DF5"/>
    <w:rsid w:val="00534F70"/>
    <w:rsid w:val="00547E9D"/>
    <w:rsid w:val="00567D07"/>
    <w:rsid w:val="005743DC"/>
    <w:rsid w:val="00601D67"/>
    <w:rsid w:val="006077C5"/>
    <w:rsid w:val="00610B60"/>
    <w:rsid w:val="00627FB7"/>
    <w:rsid w:val="00645D9F"/>
    <w:rsid w:val="006879E4"/>
    <w:rsid w:val="006960C2"/>
    <w:rsid w:val="006B2CE0"/>
    <w:rsid w:val="006B469C"/>
    <w:rsid w:val="006E35B5"/>
    <w:rsid w:val="006E7B1E"/>
    <w:rsid w:val="006F1F57"/>
    <w:rsid w:val="006F28E2"/>
    <w:rsid w:val="0071559E"/>
    <w:rsid w:val="00730D53"/>
    <w:rsid w:val="00794B2A"/>
    <w:rsid w:val="007C58A3"/>
    <w:rsid w:val="007C7ABB"/>
    <w:rsid w:val="007D7E85"/>
    <w:rsid w:val="007E3136"/>
    <w:rsid w:val="008005F5"/>
    <w:rsid w:val="00806319"/>
    <w:rsid w:val="00826B1B"/>
    <w:rsid w:val="00830025"/>
    <w:rsid w:val="0083662C"/>
    <w:rsid w:val="0084636B"/>
    <w:rsid w:val="00850830"/>
    <w:rsid w:val="008C44FB"/>
    <w:rsid w:val="008E56C5"/>
    <w:rsid w:val="009172CC"/>
    <w:rsid w:val="00926AA2"/>
    <w:rsid w:val="00932EED"/>
    <w:rsid w:val="00934656"/>
    <w:rsid w:val="0094349F"/>
    <w:rsid w:val="009500EA"/>
    <w:rsid w:val="00972D17"/>
    <w:rsid w:val="009760D5"/>
    <w:rsid w:val="0098615A"/>
    <w:rsid w:val="009A695E"/>
    <w:rsid w:val="009C58E5"/>
    <w:rsid w:val="009E3E98"/>
    <w:rsid w:val="009F3E55"/>
    <w:rsid w:val="00A015B9"/>
    <w:rsid w:val="00A04654"/>
    <w:rsid w:val="00A17F84"/>
    <w:rsid w:val="00A30989"/>
    <w:rsid w:val="00A37F0F"/>
    <w:rsid w:val="00A461F5"/>
    <w:rsid w:val="00A46BF6"/>
    <w:rsid w:val="00A55501"/>
    <w:rsid w:val="00A66213"/>
    <w:rsid w:val="00A674B1"/>
    <w:rsid w:val="00A777E2"/>
    <w:rsid w:val="00A8572F"/>
    <w:rsid w:val="00AC3607"/>
    <w:rsid w:val="00AC56A1"/>
    <w:rsid w:val="00AD519F"/>
    <w:rsid w:val="00AF05E5"/>
    <w:rsid w:val="00B01A63"/>
    <w:rsid w:val="00B337F7"/>
    <w:rsid w:val="00B517ED"/>
    <w:rsid w:val="00B659B1"/>
    <w:rsid w:val="00B921B5"/>
    <w:rsid w:val="00B92D5B"/>
    <w:rsid w:val="00B967C8"/>
    <w:rsid w:val="00BC1CC0"/>
    <w:rsid w:val="00BC4137"/>
    <w:rsid w:val="00BD036F"/>
    <w:rsid w:val="00BE0F93"/>
    <w:rsid w:val="00BF6AD9"/>
    <w:rsid w:val="00C25818"/>
    <w:rsid w:val="00C43515"/>
    <w:rsid w:val="00C50F11"/>
    <w:rsid w:val="00C56326"/>
    <w:rsid w:val="00C564C0"/>
    <w:rsid w:val="00C77AFC"/>
    <w:rsid w:val="00CA301A"/>
    <w:rsid w:val="00CB3025"/>
    <w:rsid w:val="00CC1FEB"/>
    <w:rsid w:val="00D032D6"/>
    <w:rsid w:val="00D22E8F"/>
    <w:rsid w:val="00D66CB5"/>
    <w:rsid w:val="00D71A22"/>
    <w:rsid w:val="00DB1EE0"/>
    <w:rsid w:val="00DC58E8"/>
    <w:rsid w:val="00E12030"/>
    <w:rsid w:val="00E1769D"/>
    <w:rsid w:val="00E57966"/>
    <w:rsid w:val="00E6204D"/>
    <w:rsid w:val="00E74507"/>
    <w:rsid w:val="00E74B1A"/>
    <w:rsid w:val="00E82DD4"/>
    <w:rsid w:val="00E9045F"/>
    <w:rsid w:val="00E97782"/>
    <w:rsid w:val="00EA6DD7"/>
    <w:rsid w:val="00EB3D5B"/>
    <w:rsid w:val="00EB748C"/>
    <w:rsid w:val="00EE6638"/>
    <w:rsid w:val="00EF263D"/>
    <w:rsid w:val="00F13C3A"/>
    <w:rsid w:val="00F20BCA"/>
    <w:rsid w:val="00F2584D"/>
    <w:rsid w:val="00F30693"/>
    <w:rsid w:val="00F34B75"/>
    <w:rsid w:val="00F3576E"/>
    <w:rsid w:val="00F60E2B"/>
    <w:rsid w:val="00F932B0"/>
    <w:rsid w:val="00FC4FE1"/>
    <w:rsid w:val="00FF0426"/>
    <w:rsid w:val="00FF3671"/>
    <w:rsid w:val="7E4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iPriority w:val="0"/>
    <w:rPr>
      <w:rFonts w:ascii="宋体" w:hAnsi="Courier New" w:cs="Courier New"/>
      <w:kern w:val="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8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2">
    <w:name w:val="apple-converted-space"/>
    <w:basedOn w:val="9"/>
    <w:uiPriority w:val="0"/>
  </w:style>
  <w:style w:type="paragraph" w:customStyle="1" w:styleId="13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4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5">
    <w:name w:val="列出段落1"/>
    <w:basedOn w:val="1"/>
    <w:uiPriority w:val="0"/>
    <w:pPr>
      <w:ind w:firstLine="420" w:firstLineChars="200"/>
    </w:pPr>
    <w:rPr>
      <w:rFonts w:ascii="Calibri" w:hAnsi="Calibri"/>
      <w:kern w:val="2"/>
      <w:szCs w:val="22"/>
    </w:rPr>
  </w:style>
  <w:style w:type="character" w:customStyle="1" w:styleId="16">
    <w:name w:val="纯文本 Char"/>
    <w:basedOn w:val="9"/>
    <w:link w:val="3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7">
    <w:name w:val="正文 A"/>
    <w:uiPriority w:val="0"/>
    <w:pPr>
      <w:widowControl w:val="0"/>
      <w:jc w:val="both"/>
    </w:pPr>
    <w:rPr>
      <w:rFonts w:ascii="Times New Roman" w:hAnsi="Times New Roman" w:eastAsia="幼圆" w:cs="Times New Roman"/>
      <w:color w:val="000000"/>
      <w:kern w:val="2"/>
      <w:sz w:val="21"/>
      <w:lang w:val="en-US" w:eastAsia="zh-CN" w:bidi="ar-SA"/>
    </w:rPr>
  </w:style>
  <w:style w:type="paragraph" w:customStyle="1" w:styleId="18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列出段落11"/>
    <w:basedOn w:val="1"/>
    <w:qFormat/>
    <w:uiPriority w:val="34"/>
    <w:pPr>
      <w:ind w:firstLine="420" w:firstLineChars="200"/>
    </w:pPr>
    <w:rPr>
      <w:kern w:val="2"/>
      <w:szCs w:val="24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kern w:val="2"/>
      <w:szCs w:val="24"/>
    </w:rPr>
  </w:style>
  <w:style w:type="paragraph" w:customStyle="1" w:styleId="2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sz w:val="24"/>
      <w:szCs w:val="20"/>
      <w:lang w:eastAsia="en-US"/>
    </w:rPr>
  </w:style>
  <w:style w:type="character" w:customStyle="1" w:styleId="22">
    <w:name w:val="标题 1 Char"/>
    <w:basedOn w:val="9"/>
    <w:link w:val="2"/>
    <w:uiPriority w:val="0"/>
    <w:rPr>
      <w:b/>
      <w:bCs/>
      <w:kern w:val="44"/>
      <w:sz w:val="44"/>
      <w:szCs w:val="44"/>
    </w:rPr>
  </w:style>
  <w:style w:type="character" w:customStyle="1" w:styleId="23">
    <w:name w:val="A4"/>
    <w:uiPriority w:val="0"/>
    <w:rPr>
      <w:rFonts w:cs="Swiss 72 1 BT"/>
      <w:b/>
      <w:bCs/>
      <w:color w:val="000000"/>
      <w:sz w:val="13"/>
      <w:szCs w:val="13"/>
    </w:rPr>
  </w:style>
  <w:style w:type="paragraph" w:customStyle="1" w:styleId="24">
    <w:name w:val="Pa1"/>
    <w:basedOn w:val="1"/>
    <w:next w:val="1"/>
    <w:uiPriority w:val="0"/>
    <w:pPr>
      <w:autoSpaceDE w:val="0"/>
      <w:autoSpaceDN w:val="0"/>
      <w:adjustRightInd w:val="0"/>
      <w:spacing w:line="221" w:lineRule="atLeast"/>
      <w:jc w:val="left"/>
    </w:pPr>
    <w:rPr>
      <w:rFonts w:ascii="Swiss 72 1 BT" w:eastAsia="Swiss 72 1 BT"/>
      <w:sz w:val="24"/>
      <w:szCs w:val="24"/>
    </w:rPr>
  </w:style>
  <w:style w:type="character" w:customStyle="1" w:styleId="25">
    <w:name w:val="标题 Char"/>
    <w:basedOn w:val="9"/>
    <w:link w:val="8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6">
    <w:name w:val="标题 Char1"/>
    <w:basedOn w:val="9"/>
    <w:link w:val="8"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207</Words>
  <Characters>1182</Characters>
  <Lines>9</Lines>
  <Paragraphs>2</Paragraphs>
  <TotalTime>0</TotalTime>
  <ScaleCrop>false</ScaleCrop>
  <LinksUpToDate>false</LinksUpToDate>
  <CharactersWithSpaces>1387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2017-05-15T00:23:00Z</dcterms:created>
  <dc:creator>jt</dc:creator>
  <cp:lastModifiedBy>jt</cp:lastModifiedBy>
  <cp:lastPrinted>2015-03-27T03:32:00Z</cp:lastPrinted>
  <dcterms:modified xsi:type="dcterms:W3CDTF">2017-05-15T11:00:20Z</dcterms:modified>
  <dc:title>连云港市第一人民医院高档彩超招标范围及技术要求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