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连云港市第一人民医院开发区院区</w:t>
      </w:r>
    </w:p>
    <w:p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背景观察灯</w:t>
      </w:r>
      <w:r>
        <w:rPr>
          <w:rFonts w:hint="eastAsia" w:ascii="仿宋_GB2312" w:hAnsi="宋体" w:eastAsia="仿宋_GB2312"/>
          <w:b/>
          <w:sz w:val="28"/>
          <w:szCs w:val="28"/>
        </w:rPr>
        <w:t>招标范围及技术要求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本次招标的内容为连云港市第一人民医院开发区院区</w:t>
      </w:r>
      <w:r>
        <w:rPr>
          <w:rFonts w:hint="eastAsia" w:ascii="仿宋_GB2312" w:eastAsia="仿宋_GB2312"/>
          <w:b/>
          <w:bCs/>
          <w:sz w:val="28"/>
          <w:szCs w:val="28"/>
        </w:rPr>
        <w:t>背景观察灯</w:t>
      </w:r>
      <w:r>
        <w:rPr>
          <w:rFonts w:hint="eastAsia" w:ascii="宋体" w:hAnsi="宋体" w:eastAsia="宋体" w:cs="宋体"/>
          <w:sz w:val="24"/>
          <w:szCs w:val="24"/>
        </w:rPr>
        <w:t>采购。卖方应将</w:t>
      </w:r>
      <w:r>
        <w:rPr>
          <w:rFonts w:hint="eastAsia" w:ascii="仿宋_GB2312" w:eastAsia="仿宋_GB2312"/>
          <w:b/>
          <w:bCs/>
          <w:sz w:val="28"/>
          <w:szCs w:val="28"/>
        </w:rPr>
        <w:t>背景观察灯</w:t>
      </w:r>
      <w:r>
        <w:rPr>
          <w:rFonts w:hint="eastAsia" w:ascii="宋体" w:hAnsi="宋体" w:eastAsia="宋体" w:cs="宋体"/>
          <w:sz w:val="24"/>
          <w:szCs w:val="24"/>
        </w:rPr>
        <w:t>抵买方项目现场，完成安装，检测、验收合格，交付买方使用，即交钥匙工程。</w:t>
      </w:r>
    </w:p>
    <w:p>
      <w:pPr>
        <w:spacing w:line="360" w:lineRule="auto"/>
        <w:rPr>
          <w:rFonts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二、主要技术参数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设备名称: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背景观察灯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本次采购数量：1台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1.用于观察试管、离心管、培养管等；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2.25W 6500K日光灯；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3.大小约：190*130*63mm;</w:t>
      </w:r>
    </w:p>
    <w:bookmarkEnd w:id="0"/>
    <w:p>
      <w:pPr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小时内响应，72小时内解决故障。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rPr>
          <w:rFonts w:ascii="宋体" w:cs="宋体"/>
          <w:sz w:val="24"/>
        </w:rPr>
      </w:pPr>
    </w:p>
    <w:p/>
    <w:p>
      <w:pPr>
        <w:rPr>
          <w:rFonts w:ascii="新宋体" w:hAnsi="新宋体" w:eastAsia="新宋体" w:cs="新宋体"/>
          <w:color w:val="000000"/>
          <w:sz w:val="21"/>
          <w:szCs w:val="21"/>
        </w:rPr>
      </w:pPr>
    </w:p>
    <w:sectPr>
      <w:pgSz w:w="11906" w:h="16838"/>
      <w:pgMar w:top="1417" w:right="1417" w:bottom="1134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Segoe UI Symbol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.....A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77306"/>
    <w:multiLevelType w:val="multilevel"/>
    <w:tmpl w:val="08777306"/>
    <w:lvl w:ilvl="0" w:tentative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 w:hAnsi="宋体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347E"/>
    <w:multiLevelType w:val="multilevel"/>
    <w:tmpl w:val="754F347E"/>
    <w:lvl w:ilvl="0" w:tentative="0">
      <w:start w:val="1"/>
      <w:numFmt w:val="decimal"/>
      <w:pStyle w:val="12"/>
      <w:lvlText w:val="%1)"/>
      <w:lvlJc w:val="left"/>
      <w:pPr>
        <w:ind w:left="1117" w:hanging="360"/>
      </w:pPr>
    </w:lvl>
    <w:lvl w:ilvl="1" w:tentative="0">
      <w:start w:val="1"/>
      <w:numFmt w:val="lowerLetter"/>
      <w:lvlText w:val="%2."/>
      <w:lvlJc w:val="left"/>
      <w:pPr>
        <w:ind w:left="1837" w:hanging="360"/>
      </w:pPr>
    </w:lvl>
    <w:lvl w:ilvl="2" w:tentative="0">
      <w:start w:val="1"/>
      <w:numFmt w:val="lowerRoman"/>
      <w:lvlText w:val="%3."/>
      <w:lvlJc w:val="right"/>
      <w:pPr>
        <w:ind w:left="2557" w:hanging="180"/>
      </w:pPr>
    </w:lvl>
    <w:lvl w:ilvl="3" w:tentative="0">
      <w:start w:val="1"/>
      <w:numFmt w:val="decimal"/>
      <w:lvlText w:val="%4."/>
      <w:lvlJc w:val="left"/>
      <w:pPr>
        <w:ind w:left="3277" w:hanging="360"/>
      </w:pPr>
    </w:lvl>
    <w:lvl w:ilvl="4" w:tentative="0">
      <w:start w:val="1"/>
      <w:numFmt w:val="lowerLetter"/>
      <w:lvlText w:val="%5."/>
      <w:lvlJc w:val="left"/>
      <w:pPr>
        <w:ind w:left="3997" w:hanging="360"/>
      </w:pPr>
    </w:lvl>
    <w:lvl w:ilvl="5" w:tentative="0">
      <w:start w:val="1"/>
      <w:numFmt w:val="lowerRoman"/>
      <w:lvlText w:val="%6."/>
      <w:lvlJc w:val="right"/>
      <w:pPr>
        <w:ind w:left="4717" w:hanging="180"/>
      </w:pPr>
    </w:lvl>
    <w:lvl w:ilvl="6" w:tentative="0">
      <w:start w:val="1"/>
      <w:numFmt w:val="decimal"/>
      <w:lvlText w:val="%7."/>
      <w:lvlJc w:val="left"/>
      <w:pPr>
        <w:ind w:left="5437" w:hanging="360"/>
      </w:pPr>
    </w:lvl>
    <w:lvl w:ilvl="7" w:tentative="0">
      <w:start w:val="1"/>
      <w:numFmt w:val="lowerLetter"/>
      <w:lvlText w:val="%8."/>
      <w:lvlJc w:val="left"/>
      <w:pPr>
        <w:ind w:left="6157" w:hanging="360"/>
      </w:pPr>
    </w:lvl>
    <w:lvl w:ilvl="8" w:tentative="0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003111A9"/>
    <w:rsid w:val="00027806"/>
    <w:rsid w:val="00046771"/>
    <w:rsid w:val="00051AEC"/>
    <w:rsid w:val="00063D9D"/>
    <w:rsid w:val="000A0AAF"/>
    <w:rsid w:val="000A4EE3"/>
    <w:rsid w:val="000C5931"/>
    <w:rsid w:val="000E7C89"/>
    <w:rsid w:val="000F0988"/>
    <w:rsid w:val="001458F6"/>
    <w:rsid w:val="001A7DCF"/>
    <w:rsid w:val="001B2BC1"/>
    <w:rsid w:val="001E0FF5"/>
    <w:rsid w:val="00203DAA"/>
    <w:rsid w:val="00206115"/>
    <w:rsid w:val="00217FE6"/>
    <w:rsid w:val="00232A07"/>
    <w:rsid w:val="00252ACE"/>
    <w:rsid w:val="002C5F01"/>
    <w:rsid w:val="003111A9"/>
    <w:rsid w:val="0033592B"/>
    <w:rsid w:val="00342C00"/>
    <w:rsid w:val="003525A7"/>
    <w:rsid w:val="004008F6"/>
    <w:rsid w:val="004076AE"/>
    <w:rsid w:val="00417B45"/>
    <w:rsid w:val="00430CC5"/>
    <w:rsid w:val="004741AF"/>
    <w:rsid w:val="00484CAF"/>
    <w:rsid w:val="004A34FA"/>
    <w:rsid w:val="004E633C"/>
    <w:rsid w:val="004F78DD"/>
    <w:rsid w:val="00535041"/>
    <w:rsid w:val="00575589"/>
    <w:rsid w:val="005812B3"/>
    <w:rsid w:val="0058576E"/>
    <w:rsid w:val="00591E8F"/>
    <w:rsid w:val="005A5978"/>
    <w:rsid w:val="005A64EE"/>
    <w:rsid w:val="005B3DF0"/>
    <w:rsid w:val="005E75D3"/>
    <w:rsid w:val="006039D9"/>
    <w:rsid w:val="006178B2"/>
    <w:rsid w:val="00624129"/>
    <w:rsid w:val="00626220"/>
    <w:rsid w:val="00626D1E"/>
    <w:rsid w:val="00657A6E"/>
    <w:rsid w:val="00671C6F"/>
    <w:rsid w:val="00682082"/>
    <w:rsid w:val="006E0BA9"/>
    <w:rsid w:val="006E36C2"/>
    <w:rsid w:val="007335A6"/>
    <w:rsid w:val="0074293F"/>
    <w:rsid w:val="00783B2F"/>
    <w:rsid w:val="00793F91"/>
    <w:rsid w:val="007A575F"/>
    <w:rsid w:val="007B1A9E"/>
    <w:rsid w:val="007E104F"/>
    <w:rsid w:val="007E676A"/>
    <w:rsid w:val="007F0B6F"/>
    <w:rsid w:val="007F3794"/>
    <w:rsid w:val="00826129"/>
    <w:rsid w:val="0083113C"/>
    <w:rsid w:val="00831D5F"/>
    <w:rsid w:val="00857B91"/>
    <w:rsid w:val="0089404E"/>
    <w:rsid w:val="008A01F6"/>
    <w:rsid w:val="008A234F"/>
    <w:rsid w:val="008E41FF"/>
    <w:rsid w:val="008F0DC3"/>
    <w:rsid w:val="0090754D"/>
    <w:rsid w:val="00935F25"/>
    <w:rsid w:val="0095395C"/>
    <w:rsid w:val="009636E2"/>
    <w:rsid w:val="00971987"/>
    <w:rsid w:val="00974E5F"/>
    <w:rsid w:val="0098146B"/>
    <w:rsid w:val="00991159"/>
    <w:rsid w:val="0099289D"/>
    <w:rsid w:val="009B7EA4"/>
    <w:rsid w:val="009C6896"/>
    <w:rsid w:val="009D35AD"/>
    <w:rsid w:val="00A13072"/>
    <w:rsid w:val="00AA3B81"/>
    <w:rsid w:val="00AD4BFA"/>
    <w:rsid w:val="00AD5F85"/>
    <w:rsid w:val="00B34541"/>
    <w:rsid w:val="00B37D93"/>
    <w:rsid w:val="00B509BB"/>
    <w:rsid w:val="00B61074"/>
    <w:rsid w:val="00B63BE5"/>
    <w:rsid w:val="00BB0645"/>
    <w:rsid w:val="00BD7799"/>
    <w:rsid w:val="00BE02CC"/>
    <w:rsid w:val="00BE4B4F"/>
    <w:rsid w:val="00C0075F"/>
    <w:rsid w:val="00C04A4D"/>
    <w:rsid w:val="00C14DDC"/>
    <w:rsid w:val="00C56F1F"/>
    <w:rsid w:val="00CA125A"/>
    <w:rsid w:val="00CE151C"/>
    <w:rsid w:val="00CE6399"/>
    <w:rsid w:val="00CF7398"/>
    <w:rsid w:val="00D3295C"/>
    <w:rsid w:val="00D34CF2"/>
    <w:rsid w:val="00D409EA"/>
    <w:rsid w:val="00D451D3"/>
    <w:rsid w:val="00D551C2"/>
    <w:rsid w:val="00DA20D6"/>
    <w:rsid w:val="00DC2497"/>
    <w:rsid w:val="00DC3DCB"/>
    <w:rsid w:val="00DE2687"/>
    <w:rsid w:val="00E03542"/>
    <w:rsid w:val="00E2455F"/>
    <w:rsid w:val="00E24906"/>
    <w:rsid w:val="00E45E19"/>
    <w:rsid w:val="00E54344"/>
    <w:rsid w:val="00E6314B"/>
    <w:rsid w:val="00E81319"/>
    <w:rsid w:val="00EA1BB0"/>
    <w:rsid w:val="00EB5A2F"/>
    <w:rsid w:val="00ED16B1"/>
    <w:rsid w:val="00ED19A9"/>
    <w:rsid w:val="00ED51DB"/>
    <w:rsid w:val="00ED54BF"/>
    <w:rsid w:val="00EF7D2F"/>
    <w:rsid w:val="00F036B9"/>
    <w:rsid w:val="00F038B7"/>
    <w:rsid w:val="00F24F2F"/>
    <w:rsid w:val="00F27666"/>
    <w:rsid w:val="00F4025D"/>
    <w:rsid w:val="00F8766B"/>
    <w:rsid w:val="00FC133A"/>
    <w:rsid w:val="00FC3516"/>
    <w:rsid w:val="00FC4FDD"/>
    <w:rsid w:val="128C7D98"/>
    <w:rsid w:val="42DC2040"/>
    <w:rsid w:val="435108C9"/>
    <w:rsid w:val="732E2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Lucida Sans" w:hAnsi="Lucida Sans" w:eastAsia="汉仪书宋一简" w:cs="Times New Roman"/>
      <w:sz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A" w:hAnsi="Times New Roman" w:eastAsia=".....A" w:cs=".....A"/>
      <w:color w:val="000000"/>
      <w:sz w:val="24"/>
      <w:szCs w:val="24"/>
      <w:lang w:val="en-US" w:eastAsia="zh-CN" w:bidi="ar-SA"/>
    </w:rPr>
  </w:style>
  <w:style w:type="character" w:customStyle="1" w:styleId="10">
    <w:name w:val="标题 1 字符"/>
    <w:link w:val="3"/>
    <w:qFormat/>
    <w:uiPriority w:val="0"/>
    <w:rPr>
      <w:rFonts w:ascii="Lucida Sans" w:hAnsi="Lucida Sans" w:eastAsia="汉仪书宋一简" w:cs="Times New Roman"/>
      <w:b/>
      <w:bCs/>
      <w:kern w:val="32"/>
      <w:sz w:val="32"/>
      <w:szCs w:val="32"/>
    </w:rPr>
  </w:style>
  <w:style w:type="paragraph" w:customStyle="1" w:styleId="11">
    <w:name w:val="2 heading"/>
    <w:basedOn w:val="1"/>
    <w:link w:val="13"/>
    <w:qFormat/>
    <w:uiPriority w:val="0"/>
    <w:pPr>
      <w:numPr>
        <w:ilvl w:val="0"/>
        <w:numId w:val="1"/>
      </w:numPr>
      <w:ind w:left="360"/>
    </w:pPr>
    <w:rPr>
      <w:rFonts w:cs="Tahoma"/>
      <w:b/>
      <w:szCs w:val="21"/>
    </w:rPr>
  </w:style>
  <w:style w:type="paragraph" w:styleId="12">
    <w:name w:val="List Paragraph"/>
    <w:basedOn w:val="1"/>
    <w:qFormat/>
    <w:uiPriority w:val="34"/>
    <w:pPr>
      <w:numPr>
        <w:ilvl w:val="0"/>
        <w:numId w:val="2"/>
      </w:numPr>
      <w:ind w:left="720"/>
    </w:pPr>
    <w:rPr>
      <w:rFonts w:cs="Tahoma"/>
      <w:color w:val="000000"/>
      <w:szCs w:val="22"/>
    </w:rPr>
  </w:style>
  <w:style w:type="character" w:customStyle="1" w:styleId="13">
    <w:name w:val="2 heading Char"/>
    <w:link w:val="11"/>
    <w:qFormat/>
    <w:uiPriority w:val="0"/>
    <w:rPr>
      <w:rFonts w:ascii="Lucida Sans" w:hAnsi="Lucida Sans" w:eastAsia="汉仪书宋一简" w:cs="Tahoma"/>
      <w:b/>
      <w:sz w:val="22"/>
      <w:szCs w:val="21"/>
    </w:rPr>
  </w:style>
  <w:style w:type="character" w:customStyle="1" w:styleId="14">
    <w:name w:val="页眉 字符"/>
    <w:basedOn w:val="8"/>
    <w:link w:val="5"/>
    <w:qFormat/>
    <w:uiPriority w:val="0"/>
    <w:rPr>
      <w:rFonts w:ascii="Lucida Sans" w:hAnsi="Lucida Sans" w:eastAsia="汉仪书宋一简"/>
      <w:sz w:val="18"/>
      <w:szCs w:val="18"/>
    </w:rPr>
  </w:style>
  <w:style w:type="character" w:customStyle="1" w:styleId="15">
    <w:name w:val="页脚 字符"/>
    <w:basedOn w:val="8"/>
    <w:link w:val="4"/>
    <w:qFormat/>
    <w:uiPriority w:val="0"/>
    <w:rPr>
      <w:rFonts w:ascii="Lucida Sans" w:hAnsi="Lucida Sans" w:eastAsia="汉仪书宋一简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D06C2C739748B410112258D43673" ma:contentTypeVersion="0" ma:contentTypeDescription="Create a new document." ma:contentTypeScope="" ma:versionID="e5e37e081364f51c8f43080de0a13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67516-8B41-4F85-AB58-046D256FECFA}">
  <ds:schemaRefs/>
</ds:datastoreItem>
</file>

<file path=customXml/itemProps2.xml><?xml version="1.0" encoding="utf-8"?>
<ds:datastoreItem xmlns:ds="http://schemas.openxmlformats.org/officeDocument/2006/customXml" ds:itemID="{8716F376-9446-40DC-BD68-7F2DF647E67F}">
  <ds:schemaRefs/>
</ds:datastoreItem>
</file>

<file path=customXml/itemProps3.xml><?xml version="1.0" encoding="utf-8"?>
<ds:datastoreItem xmlns:ds="http://schemas.openxmlformats.org/officeDocument/2006/customXml" ds:itemID="{471EEFE8-4E63-443F-897D-407229456B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Eppendorf AG</Company>
  <Pages>1</Pages>
  <Words>479</Words>
  <Characters>520</Characters>
  <Lines>4</Lines>
  <Paragraphs>1</Paragraphs>
  <TotalTime>5</TotalTime>
  <ScaleCrop>false</ScaleCrop>
  <LinksUpToDate>false</LinksUpToDate>
  <CharactersWithSpaces>543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2019-12-03T08:25:00Z</dcterms:created>
  <dc:creator>Cora</dc:creator>
  <cp:lastModifiedBy>WPS_1638499305</cp:lastModifiedBy>
  <dcterms:modified xsi:type="dcterms:W3CDTF">2022-11-05T02:22:41Z</dcterms:modified>
  <dc:title>Eppendorf Research plus移液器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0x010100A6A7D06C2C739748B410112258D43673</vt:lpwstr>
  </property>
  <property fmtid="{D5CDD505-2E9C-101B-9397-08002B2CF9AE}" pid="3" name="KSOProductBuildVer">
    <vt:lpwstr>2052-11.1.0.12598</vt:lpwstr>
  </property>
  <property fmtid="{D5CDD505-2E9C-101B-9397-08002B2CF9AE}" pid="4" name="ICV">
    <vt:lpwstr>E651710B5FB444E8848CF3290313C03F</vt:lpwstr>
  </property>
</Properties>
</file>